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9D6BE5" w:rsidRPr="009D6BE5" w:rsidRDefault="009D6BE5" w:rsidP="009D6BE5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9D6BE5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КАМ'ЯНЕЦЬ-ПОДІЛЬСЬКИЙ ТА ЧЕРНІВЦІ</w:t>
      </w:r>
    </w:p>
    <w:p w:rsidR="008F2CB1" w:rsidRPr="004C26E3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A44F33" w:rsidRPr="00D56659" w:rsidRDefault="00A44F33" w:rsidP="004C26E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4C26E3" w:rsidRPr="004C26E3" w:rsidRDefault="004C26E3" w:rsidP="004C26E3">
      <w:pPr>
        <w:shd w:val="clear" w:color="auto" w:fill="2F5496" w:themeFill="accent5" w:themeFillShade="BF"/>
        <w:jc w:val="center"/>
        <w:rPr>
          <w:rFonts w:ascii="Verdana" w:eastAsiaTheme="majorEastAsi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 xml:space="preserve">                   </w:t>
      </w:r>
      <w:r w:rsidR="001056D0"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="001056D0"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>
        <w:rPr>
          <w:rFonts w:ascii="Verdana" w:hAnsi="Verdana" w:cstheme="majorHAnsi"/>
          <w:color w:val="FFFFFF" w:themeColor="background1"/>
          <w:sz w:val="18"/>
          <w:szCs w:val="18"/>
        </w:rPr>
        <w:br/>
      </w:r>
      <w:proofErr w:type="spellStart"/>
      <w:r w:rsidR="009D6BE5" w:rsidRPr="009D6BE5">
        <w:rPr>
          <w:rFonts w:ascii="Verdana" w:hAnsi="Verdana"/>
          <w:b/>
          <w:bCs/>
          <w:color w:val="FFFFFF" w:themeColor="background1"/>
          <w:sz w:val="18"/>
          <w:szCs w:val="18"/>
        </w:rPr>
        <w:t>Кам'янецька</w:t>
      </w:r>
      <w:proofErr w:type="spellEnd"/>
      <w:r w:rsidR="009D6BE5" w:rsidRPr="009D6BE5">
        <w:rPr>
          <w:rFonts w:ascii="Verdana" w:hAnsi="Verdana"/>
          <w:b/>
          <w:bCs/>
          <w:color w:val="FFFFFF" w:themeColor="background1"/>
          <w:sz w:val="18"/>
          <w:szCs w:val="18"/>
        </w:rPr>
        <w:t xml:space="preserve"> фортеця та печера Кришталева</w:t>
      </w:r>
    </w:p>
    <w:p w:rsidR="009D6BE5" w:rsidRPr="009D6BE5" w:rsidRDefault="009D6BE5" w:rsidP="009D6BE5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Приїзд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Кам'янець-Подільський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вокзалі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с.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Кривче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Пізнавальна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печері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«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Кришталева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» -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покриті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великою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кількістю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різноманітних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кристалів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повні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кам'яних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зображень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голова Буйвола,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Сови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, Орла.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Повернення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Камянець-Подільський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на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пізнавальну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оглядову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по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Ви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побачите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майданчик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Карвасари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Хрестовоздвиженську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церкву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Підвісний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місток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Сонячний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годинник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укріплювальні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вали і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Кам'янець-Подільської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фортеці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кафе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Далі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чекає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до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Кам'янецької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фортеці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Прослуживши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місту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найпотужнішим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оборонним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форпостом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протягом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багатьох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століть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зараз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Кам'янець-Подільська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фортеця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є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однією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з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найкрасивіших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пам'яток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архітектури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України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Перші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споруди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фортеці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належать до 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XI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XII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століть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основні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укріплення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до 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XVI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XVII</w:t>
      </w:r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століть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Оборонні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укріплення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Кам'янці-Подільському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вважаються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прекрасним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зразком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кращих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фортифікацій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Східної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Вечеря в кафе </w:t>
      </w:r>
      <w:proofErr w:type="spellStart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9D6BE5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Ночівля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.</w:t>
      </w:r>
    </w:p>
    <w:p w:rsidR="007A2881" w:rsidRPr="00D56659" w:rsidRDefault="007A2881" w:rsidP="009D6BE5">
      <w:pPr>
        <w:shd w:val="clear" w:color="auto" w:fill="FFFFFF"/>
        <w:spacing w:after="0"/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</w:pPr>
    </w:p>
    <w:p w:rsidR="00DE5503" w:rsidRPr="00D56659" w:rsidRDefault="009D6BE5" w:rsidP="009D6BE5">
      <w:pPr>
        <w:shd w:val="clear" w:color="auto" w:fill="FFFFFF"/>
        <w:spacing w:after="0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5" name="Рисунок 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2120400" cy="1188000"/>
            <wp:effectExtent l="0" t="0" r="0" b="0"/>
            <wp:docPr id="3" name="Рисунок 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486800" cy="1188000"/>
            <wp:effectExtent l="0" t="0" r="0" b="0"/>
            <wp:docPr id="2" name="Рисунок 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6BE5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6BE5">
        <w:rPr>
          <w:rFonts w:ascii="Verdana" w:hAnsi="Verdana"/>
          <w:b/>
          <w:bCs/>
          <w:color w:val="FFFFFF" w:themeColor="background1"/>
          <w:sz w:val="18"/>
          <w:szCs w:val="18"/>
        </w:rPr>
        <w:t>Хотин та Чернівці</w:t>
      </w:r>
    </w:p>
    <w:p w:rsidR="009D6BE5" w:rsidRPr="009D6BE5" w:rsidRDefault="009D6BE5" w:rsidP="009D6BE5">
      <w:pPr>
        <w:spacing w:after="0" w:line="276" w:lineRule="auto"/>
        <w:rPr>
          <w:rFonts w:ascii="Verdana" w:hAnsi="Verdana" w:cs="Arial"/>
          <w:color w:val="212529"/>
          <w:sz w:val="18"/>
          <w:szCs w:val="18"/>
          <w:lang w:val="en-US"/>
        </w:rPr>
      </w:pPr>
      <w:proofErr w:type="spellStart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>Ранній</w:t>
      </w:r>
      <w:proofErr w:type="spellEnd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>сніданок</w:t>
      </w:r>
      <w:proofErr w:type="spellEnd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 xml:space="preserve">. </w:t>
      </w:r>
      <w:proofErr w:type="spellStart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>Звільнення</w:t>
      </w:r>
      <w:proofErr w:type="spellEnd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>номерів</w:t>
      </w:r>
      <w:proofErr w:type="spellEnd"/>
      <w:r w:rsidRPr="009D6BE5">
        <w:rPr>
          <w:rFonts w:ascii="Verdana" w:hAnsi="Verdana" w:cs="Arial"/>
          <w:b/>
          <w:bCs/>
          <w:color w:val="212529"/>
          <w:sz w:val="18"/>
          <w:szCs w:val="18"/>
          <w:lang w:val="en-US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en-US"/>
        </w:rPr>
      </w:pP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Переїзд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 xml:space="preserve"> в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Хотин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Екскурсія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Хотинській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фортеці-казці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.  </w:t>
      </w:r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Образ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твердині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сформований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впливом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таких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фільмів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«Захар Беркут», «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Балада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доблесного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лицаря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Айвенго», «Три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мушкетери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», «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Стріли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Робін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Гуда», «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Чорна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стріла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запам'ятався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напевно кожному. Так от -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Вона -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Хотинська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фортеця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Переїзд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Чернівці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кафе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міста</w:t>
      </w:r>
      <w:proofErr w:type="spellEnd"/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Чернівцям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називають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«Париж в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». У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відрізнялося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мирним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співіснуванням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великої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кількості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релігійних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напрямків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конфесій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Звідси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велика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кількість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культових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споруд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знайдете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вірменську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церкву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нині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органний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зал), і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єврейську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синагогу, і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римо-католицький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костел, і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православний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храм.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Відвідування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Чернівецького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Національного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Університету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9D6BE5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Архітектурною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перлинию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Чернівців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праву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вважається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колишня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Резиденція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православних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митрополитів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Буковини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Далмації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Нині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корпуси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Чернівецького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національного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університету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імені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Юрія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Федьковича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заодно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найпопулярніше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фотосесій</w:t>
      </w:r>
      <w:proofErr w:type="spellEnd"/>
      <w:r w:rsidRPr="009D6BE5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 у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місті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Трансфер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групи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вокзал.</w:t>
      </w:r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</w:p>
    <w:p w:rsidR="009D6BE5" w:rsidRPr="009D6BE5" w:rsidRDefault="009D6BE5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lastRenderedPageBreak/>
        <w:t>Виїзд</w:t>
      </w:r>
      <w:proofErr w:type="spellEnd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до </w:t>
      </w:r>
      <w:proofErr w:type="spellStart"/>
      <w:r w:rsidRPr="009D6BE5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Києва</w:t>
      </w:r>
      <w:proofErr w:type="spellEnd"/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br/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74800" cy="1188000"/>
            <wp:effectExtent l="0" t="0" r="0" b="0"/>
            <wp:docPr id="10" name="Рисунок 10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9" name="Рисунок 9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7" name="Рисунок 7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A37291" w:rsidP="009D6BE5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B6777" w:rsidRPr="00D56659" w:rsidRDefault="00DE5503" w:rsidP="004C26E3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="004C26E3">
        <w:rPr>
          <w:rFonts w:ascii="Verdana" w:hAnsi="Verdana" w:cstheme="majorHAnsi"/>
          <w:b/>
          <w:color w:val="FFFFFF" w:themeColor="background1"/>
          <w:sz w:val="24"/>
          <w:szCs w:val="24"/>
        </w:rPr>
        <w:t>Вартість: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9D6BE5" w:rsidTr="004C26E3">
        <w:tc>
          <w:tcPr>
            <w:tcW w:w="2419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  <w:lang w:val="en-US"/>
              </w:rPr>
            </w:pPr>
            <w:r>
              <w:rPr>
                <w:rFonts w:ascii="Segoe UI" w:hAnsi="Segoe UI" w:cs="Segoe UI"/>
                <w:color w:val="212529"/>
              </w:rPr>
              <w:t>Проживання/група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15+2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30+3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40+4</w:t>
            </w:r>
          </w:p>
        </w:tc>
      </w:tr>
      <w:tr w:rsidR="009D6BE5" w:rsidTr="004C26E3">
        <w:tc>
          <w:tcPr>
            <w:tcW w:w="2419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Готель 3***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3050 грн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2900 грн</w:t>
            </w:r>
          </w:p>
        </w:tc>
        <w:tc>
          <w:tcPr>
            <w:tcW w:w="2420" w:type="dxa"/>
          </w:tcPr>
          <w:p w:rsidR="009D6BE5" w:rsidRDefault="009D6BE5" w:rsidP="009D6BE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2700 грн</w:t>
            </w:r>
          </w:p>
        </w:tc>
      </w:tr>
    </w:tbl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9D6BE5" w:rsidRPr="009D6BE5" w:rsidRDefault="009D6BE5" w:rsidP="009D6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Проживання в готелі;</w:t>
      </w:r>
    </w:p>
    <w:p w:rsidR="009D6BE5" w:rsidRPr="009D6BE5" w:rsidRDefault="009D6BE5" w:rsidP="009D6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Транспортне обслуговування по програмі;</w:t>
      </w:r>
    </w:p>
    <w:p w:rsidR="009D6BE5" w:rsidRPr="009D6BE5" w:rsidRDefault="009D6BE5" w:rsidP="009D6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Екскурсійне обслуговування по програмі;</w:t>
      </w:r>
    </w:p>
    <w:p w:rsidR="009D6BE5" w:rsidRPr="009D6BE5" w:rsidRDefault="009D6BE5" w:rsidP="009D6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Харчування по програмі - 2-разове;</w:t>
      </w:r>
    </w:p>
    <w:p w:rsidR="004C26E3" w:rsidRPr="004C26E3" w:rsidRDefault="009D6BE5" w:rsidP="009D6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Страховка.</w:t>
      </w:r>
    </w:p>
    <w:p w:rsidR="00D35265" w:rsidRPr="00D56659" w:rsidRDefault="004C26E3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  <w:r>
        <w:rPr>
          <w:rFonts w:ascii="Verdana" w:hAnsi="Verdana" w:cstheme="majorHAnsi"/>
          <w:color w:val="212529"/>
          <w:sz w:val="18"/>
          <w:szCs w:val="18"/>
        </w:rPr>
        <w:br/>
      </w: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4C26E3" w:rsidRDefault="004C26E3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9D6BE5" w:rsidRPr="009D6BE5" w:rsidRDefault="009D6BE5" w:rsidP="009D6B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Залізничний проїзд Київ-Кам'янець-Подільський,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9D6BE5" w:rsidRPr="009D6BE5" w:rsidRDefault="009D6BE5" w:rsidP="009D6B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Вхідні квитки в музеї та об'єкти;</w:t>
      </w:r>
    </w:p>
    <w:p w:rsidR="009D6BE5" w:rsidRPr="009D6BE5" w:rsidRDefault="009D6BE5" w:rsidP="009D6B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Додаткове харчування;</w:t>
      </w:r>
    </w:p>
    <w:p w:rsidR="004C26E3" w:rsidRPr="004C26E3" w:rsidRDefault="009D6BE5" w:rsidP="009D6B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r w:rsidRPr="009D6BE5">
        <w:rPr>
          <w:rFonts w:ascii="Verdana" w:hAnsi="Verdana" w:cstheme="majorHAnsi"/>
          <w:color w:val="212529"/>
          <w:sz w:val="18"/>
          <w:szCs w:val="18"/>
        </w:rPr>
        <w:t>Власні витрати</w:t>
      </w:r>
      <w:r w:rsidR="004C26E3" w:rsidRPr="004C26E3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4C26E3" w:rsidRDefault="004C26E3" w:rsidP="004C26E3">
      <w:pPr>
        <w:pStyle w:val="a3"/>
        <w:shd w:val="clear" w:color="auto" w:fill="FFFFFF"/>
        <w:rPr>
          <w:rFonts w:ascii="Arial" w:hAnsi="Arial" w:cs="Arial"/>
          <w:color w:val="212529"/>
          <w:sz w:val="21"/>
          <w:szCs w:val="21"/>
          <w:lang w:val="en-US"/>
        </w:rPr>
      </w:pPr>
      <w:r>
        <w:rPr>
          <w:rFonts w:ascii="Verdana" w:hAnsi="Verdana" w:cstheme="majorHAnsi"/>
          <w:color w:val="212529"/>
          <w:sz w:val="18"/>
          <w:szCs w:val="18"/>
        </w:rPr>
        <w:br/>
      </w:r>
      <w:r>
        <w:rPr>
          <w:rFonts w:ascii="Verdana" w:hAnsi="Verdana" w:cstheme="majorHAnsi"/>
          <w:color w:val="212529"/>
          <w:sz w:val="18"/>
          <w:szCs w:val="18"/>
        </w:rPr>
        <w:br/>
      </w:r>
      <w:r>
        <w:rPr>
          <w:rFonts w:ascii="Arial" w:hAnsi="Arial" w:cs="Arial"/>
          <w:b/>
          <w:bCs/>
          <w:color w:val="212529"/>
          <w:sz w:val="21"/>
          <w:szCs w:val="21"/>
        </w:rPr>
        <w:t>Вартість вхідн</w:t>
      </w:r>
      <w:bookmarkStart w:id="0" w:name="_GoBack"/>
      <w:bookmarkEnd w:id="0"/>
      <w:r>
        <w:rPr>
          <w:rFonts w:ascii="Arial" w:hAnsi="Arial" w:cs="Arial"/>
          <w:b/>
          <w:bCs/>
          <w:color w:val="212529"/>
          <w:sz w:val="21"/>
          <w:szCs w:val="21"/>
        </w:rPr>
        <w:t>их квитків:</w:t>
      </w:r>
    </w:p>
    <w:p w:rsidR="009D6BE5" w:rsidRPr="009D6BE5" w:rsidRDefault="009D6BE5" w:rsidP="009D6B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Печера «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Кришталева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» - 35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дит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50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/дор + 300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група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екскурсійне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обслуговування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9D6BE5" w:rsidRPr="009D6BE5" w:rsidRDefault="009D6BE5" w:rsidP="009D6B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Хотинська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фортеця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80 грн.,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учні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40 грн.)</w:t>
      </w:r>
    </w:p>
    <w:p w:rsidR="009D6BE5" w:rsidRPr="009D6BE5" w:rsidRDefault="009D6BE5" w:rsidP="009D6B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Кам’янецька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фортеця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учні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грн.).</w:t>
      </w:r>
    </w:p>
    <w:p w:rsidR="009D6BE5" w:rsidRPr="009D6BE5" w:rsidRDefault="009D6BE5" w:rsidP="009D6B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Чернівецький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університет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60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/особа;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учні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35 </w:t>
      </w:r>
      <w:proofErr w:type="spellStart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9D6BE5">
        <w:rPr>
          <w:rFonts w:ascii="Verdana" w:hAnsi="Verdana" w:cstheme="majorHAnsi"/>
          <w:color w:val="212529"/>
          <w:sz w:val="18"/>
          <w:szCs w:val="18"/>
          <w:lang w:val="ru-RU"/>
        </w:rPr>
        <w:t>/особа;</w:t>
      </w:r>
    </w:p>
    <w:p w:rsidR="00D35265" w:rsidRPr="009D6BE5" w:rsidRDefault="00D35265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9D6BE5">
      <w:headerReference w:type="default" r:id="rId1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85" w:rsidRDefault="00291285" w:rsidP="00840880">
      <w:pPr>
        <w:spacing w:after="0" w:line="240" w:lineRule="auto"/>
      </w:pPr>
      <w:r>
        <w:separator/>
      </w:r>
    </w:p>
  </w:endnote>
  <w:endnote w:type="continuationSeparator" w:id="0">
    <w:p w:rsidR="00291285" w:rsidRDefault="00291285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85" w:rsidRDefault="00291285" w:rsidP="00840880">
      <w:pPr>
        <w:spacing w:after="0" w:line="240" w:lineRule="auto"/>
      </w:pPr>
      <w:r>
        <w:separator/>
      </w:r>
    </w:p>
  </w:footnote>
  <w:footnote w:type="continuationSeparator" w:id="0">
    <w:p w:rsidR="00291285" w:rsidRDefault="00291285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E5" w:rsidRPr="009D6BE5" w:rsidRDefault="00840880" w:rsidP="009D6BE5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6E3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9D6BE5" w:rsidRPr="009D6BE5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КАМ'ЯНЕЦЬ-ПОДІЛЬСЬКИЙ ТА ЧЕРНІВЦІ</w:t>
    </w:r>
  </w:p>
  <w:p w:rsidR="004C26E3" w:rsidRPr="004C26E3" w:rsidRDefault="004C26E3" w:rsidP="004C26E3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</w:p>
  <w:p w:rsidR="00840880" w:rsidRPr="004C26E3" w:rsidRDefault="00291285" w:rsidP="002D5254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4C26E3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291285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291285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C2B59"/>
    <w:multiLevelType w:val="multilevel"/>
    <w:tmpl w:val="5E6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3643E"/>
    <w:multiLevelType w:val="multilevel"/>
    <w:tmpl w:val="CA3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B4D9B"/>
    <w:rsid w:val="001056D0"/>
    <w:rsid w:val="00176F0E"/>
    <w:rsid w:val="001F5BBC"/>
    <w:rsid w:val="00291285"/>
    <w:rsid w:val="00386259"/>
    <w:rsid w:val="003B6777"/>
    <w:rsid w:val="00450660"/>
    <w:rsid w:val="00463025"/>
    <w:rsid w:val="004C26E3"/>
    <w:rsid w:val="004E3925"/>
    <w:rsid w:val="004E7C36"/>
    <w:rsid w:val="00712167"/>
    <w:rsid w:val="007A2881"/>
    <w:rsid w:val="00826C8B"/>
    <w:rsid w:val="00840880"/>
    <w:rsid w:val="008F2CB1"/>
    <w:rsid w:val="009D6BE5"/>
    <w:rsid w:val="00A37291"/>
    <w:rsid w:val="00A44F33"/>
    <w:rsid w:val="00AC3EEA"/>
    <w:rsid w:val="00D35265"/>
    <w:rsid w:val="00D56659"/>
    <w:rsid w:val="00DE5503"/>
    <w:rsid w:val="00E46207"/>
    <w:rsid w:val="00E53DD7"/>
    <w:rsid w:val="00E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3536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26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table" w:styleId="ab">
    <w:name w:val="Table Grid"/>
    <w:basedOn w:val="a1"/>
    <w:uiPriority w:val="39"/>
    <w:rsid w:val="004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7eBONp0C9GKgXD4LL55CK7aYVOeaDhyTekpJlxfz.jpe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akums.com.ua/storage/watermarked/lyZUg4yTjdaqWqfeNN4u087hd1uiVwIrydSuFA5M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H52dED4zv7S7ma3EOCHhV57bHouwtywxUb9hlQLj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wa9m6jd1wzclpqlhXzJSK0lj2z0sx91xhnSHmCxP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myvIHp4B3Wu7yOEq5QOJw5G5UvGawzcRrf0QebGg.jpeg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7j4BiCvl33lkzTMSp1wypw7WcTxHYm8rlIwkR4IB.jpe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7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2</cp:revision>
  <dcterms:created xsi:type="dcterms:W3CDTF">2024-01-31T13:51:00Z</dcterms:created>
  <dcterms:modified xsi:type="dcterms:W3CDTF">2024-01-31T13:51:00Z</dcterms:modified>
</cp:coreProperties>
</file>