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99" w:rsidRPr="00B56B99" w:rsidRDefault="00B56B99" w:rsidP="00B56B9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КАНІКУЛИ В СЛОВАЧЧИНІ (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шкільні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канікули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1 день</w:t>
      </w:r>
    </w:p>
    <w:p w:rsidR="00B56B99" w:rsidRPr="00B56B99" w:rsidRDefault="00B56B99" w:rsidP="00B56B99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Знайомство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Словаччиною</w:t>
      </w:r>
      <w:proofErr w:type="spellEnd"/>
    </w:p>
    <w:p w:rsidR="00B56B99" w:rsidRPr="00B56B99" w:rsidRDefault="00B56B99" w:rsidP="00B56B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Збір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зустріч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групи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Мукачево.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Орієнтовний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час – 07:20.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Обов’язково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уточнюйте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час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виїзду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менеджера. Посадка в автобус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залізничному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вокзалі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Виїзд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перетин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кордону.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 xml:space="preserve">Перша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зупинка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яку ми вам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пропонуємо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відвідування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термального комплексу </w:t>
      </w:r>
      <w:r w:rsidRPr="00B56B99">
        <w:rPr>
          <w:rFonts w:ascii="Arial" w:eastAsia="Times New Roman" w:hAnsi="Arial" w:cs="Arial"/>
          <w:b/>
          <w:bCs/>
          <w:sz w:val="18"/>
          <w:szCs w:val="18"/>
        </w:rPr>
        <w:t>«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Thermal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Park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» (25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/20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вхідний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квиток на 3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години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врахований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у вартість) 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біля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озера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Земплінська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Ширава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території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«Водяного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світу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»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знаходяться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криті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штучними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хвилями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плавальний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релаксуючий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масажний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також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штучними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хвилями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дозволяє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відпочиваючим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відчути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себе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морському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березі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релаксаційний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обладнаний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численними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масажними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форсунками (для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масажу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м’язів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ніг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інше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Масажний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дасть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можливість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насолодитися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всією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красою не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тільки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гідромасажу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кріслах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а й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водяних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масажних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лавках.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Крім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відвідувачів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термального парку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Ширава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чекають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й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інші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найрізноманітніші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розваги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довга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коротка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водяні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гірки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«дика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ріка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», «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гойдаючий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залив», дитячий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ігровий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майданчик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інше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Зрозуміло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якісний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відпочинок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неможливий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без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чудових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напоїв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смачної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їжі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про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подбав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ресторан аквапарку.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розпорядженні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відпочиваючих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є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безліч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зручних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шезлонгів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Для тих,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хто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шукає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спокою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самотності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є зона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відпочинку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першому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поверсі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термального комплексу.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Прямуємо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далі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, до 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Списького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Граду (15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/12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) </w:t>
      </w:r>
      <w:r w:rsidRPr="00B56B99">
        <w:rPr>
          <w:rFonts w:ascii="Arial" w:eastAsia="Times New Roman" w:hAnsi="Arial" w:cs="Arial"/>
          <w:sz w:val="18"/>
          <w:szCs w:val="18"/>
        </w:rPr>
        <w:t xml:space="preserve">(З ГРУДНЯ ПО КВІТЕНЬ ЕКСКУРСІЯ НЕ ПРОВОДИТЬСЯ,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зв'язку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закриттям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замку </w:t>
      </w:r>
      <w:proofErr w:type="gramStart"/>
      <w:r w:rsidRPr="00B56B99">
        <w:rPr>
          <w:rFonts w:ascii="Arial" w:eastAsia="Times New Roman" w:hAnsi="Arial" w:cs="Arial"/>
          <w:sz w:val="18"/>
          <w:szCs w:val="18"/>
        </w:rPr>
        <w:t>на зимовий</w:t>
      </w:r>
      <w:proofErr w:type="gram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період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розпочнеться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знайомство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замком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із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вигуку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захоплення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Адже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споруда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виникає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обрії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раптово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вражає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гармонією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величчю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Спочатку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здивує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потім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запросить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піднятися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своїх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стін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зануритися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вікову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історію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gramStart"/>
      <w:r w:rsidRPr="00B56B99">
        <w:rPr>
          <w:rFonts w:ascii="Arial" w:eastAsia="Times New Roman" w:hAnsi="Arial" w:cs="Arial"/>
          <w:sz w:val="18"/>
          <w:szCs w:val="18"/>
        </w:rPr>
        <w:t>У замку</w:t>
      </w:r>
      <w:proofErr w:type="gramEnd"/>
      <w:r w:rsidRPr="00B56B99">
        <w:rPr>
          <w:rFonts w:ascii="Arial" w:eastAsia="Times New Roman" w:hAnsi="Arial" w:cs="Arial"/>
          <w:sz w:val="18"/>
          <w:szCs w:val="18"/>
        </w:rPr>
        <w:t xml:space="preserve"> є музей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середньовічної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зброї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обладунків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Екскурсію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проводять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костюмовані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лицарі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принцеси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алхіміки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ведуть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по залах, мостах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заводять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камеру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тортур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Списький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град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замок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розкинувся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200-метровій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території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4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гектари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Але є тут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масштаби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іншого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рівня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: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фортеця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занесена в список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Всесвітньої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спадщини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ЮНЕСКО як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найвідоміший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архітектурний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пам'ятник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країни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Продовжуємо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знайомство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тримаючи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шлях до 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Левоча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колишній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центр та, в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минулому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найбагатше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місто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Спиша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. </w:t>
      </w:r>
      <w:r w:rsidRPr="00B56B99">
        <w:rPr>
          <w:rFonts w:ascii="Arial" w:eastAsia="Times New Roman" w:hAnsi="Arial" w:cs="Arial"/>
          <w:sz w:val="18"/>
          <w:szCs w:val="18"/>
        </w:rPr>
        <w:t xml:space="preserve">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центрі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дуже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добре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збереглася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середньовічна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площа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яку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оточують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близько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60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будівель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стилі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готики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ренесансу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костелі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Св.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Якуба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вхідний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квиток 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знаходиться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найвищий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дерев'яний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готичний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вівтар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світі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робота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видатного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різьбяра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Майстра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Павла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Левоча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Маріанській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знаходиться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Маріанський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костел,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є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однією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10-ти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Базилік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У 2009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записане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Світову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культурну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спадщину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ЮНЕСКО.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Далі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очікує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унікальна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історична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частина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регіону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Попрада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Списька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Собота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найкрасивіший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район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Тут добре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збереглися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міські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будинки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16-17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століття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будівлі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дерева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каменю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Церква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святого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Юрая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13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століття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дзвіниця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16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століття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будівля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міської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ратуші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старовинна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колона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статуєю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Діви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Марії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Відчуйте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міцний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дух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серце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!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Поселення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готель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Вечеря*.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Ночівля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54FB7397" wp14:editId="4D8E4571">
            <wp:extent cx="1663700" cy="1247774"/>
            <wp:effectExtent l="0" t="0" r="0" b="0"/>
            <wp:docPr id="16" name="Рисунок 16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54" cy="125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FE53E38" wp14:editId="38909F78">
            <wp:extent cx="2171700" cy="1225804"/>
            <wp:effectExtent l="0" t="0" r="0" b="0"/>
            <wp:docPr id="14" name="Рисунок 14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71" cy="12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F42901E" wp14:editId="579F9A5A">
            <wp:extent cx="2148750" cy="1212850"/>
            <wp:effectExtent l="0" t="0" r="4445" b="6350"/>
            <wp:docPr id="13" name="Рисунок 13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06" cy="12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2 день</w:t>
      </w:r>
    </w:p>
    <w:p w:rsidR="00B56B99" w:rsidRPr="00B56B99" w:rsidRDefault="00B56B99" w:rsidP="00B56B99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Активність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- наше друге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ім'я</w:t>
      </w:r>
      <w:proofErr w:type="spellEnd"/>
    </w:p>
    <w:p w:rsidR="00B56B99" w:rsidRPr="00B56B99" w:rsidRDefault="00B56B99" w:rsidP="00B56B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Сніданок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Сьогоднішній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день буде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гаслом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«Для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найсміливіших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безстрашних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цікавих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!».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почнемо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абсолютно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нової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надзвичайної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атракції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 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дерев'яна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стежина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по кронах дерев в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Бахледовій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Долині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(15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/10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+ квиток 32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/26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до 14 </w:t>
      </w:r>
      <w:proofErr w:type="spellStart"/>
      <w:proofErr w:type="gram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,</w:t>
      </w:r>
      <w:proofErr w:type="gram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(стежка в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верхівках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дерев + гондола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Бахледка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(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поїздка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обидві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сторони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)</w:t>
      </w:r>
      <w:r w:rsidRPr="00B56B99">
        <w:rPr>
          <w:rFonts w:ascii="Arial" w:eastAsia="Times New Roman" w:hAnsi="Arial" w:cs="Arial"/>
          <w:sz w:val="18"/>
          <w:szCs w:val="18"/>
        </w:rPr>
        <w:t xml:space="preserve"> ) – стежка в кронах дерев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Бахледці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розташована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межі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П’єнінського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Татранського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національних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парків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серці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різноманітного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лісу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Маршрут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довжиною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понад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600 м проходить через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ліс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сюрпризів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цікавинок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показуючи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відвідувачам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унікальність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природи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Спішської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Магури</w:t>
      </w:r>
      <w:proofErr w:type="spellEnd"/>
      <w:proofErr w:type="gramStart"/>
      <w:r w:rsidRPr="00B56B99">
        <w:rPr>
          <w:rFonts w:ascii="Arial" w:eastAsia="Times New Roman" w:hAnsi="Arial" w:cs="Arial"/>
          <w:sz w:val="18"/>
          <w:szCs w:val="18"/>
        </w:rPr>
        <w:t>.,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стежина</w:t>
      </w:r>
      <w:proofErr w:type="spellEnd"/>
      <w:proofErr w:type="gram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кінці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піднімається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формі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спіралі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висоту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32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метрів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 На самому верху «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вежі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»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можна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знайти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360°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оглядовий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майданчик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відкривається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прекрасний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вид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Беліанські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Татри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Пієніни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proofErr w:type="gramStart"/>
      <w:r w:rsidRPr="00B56B99">
        <w:rPr>
          <w:rFonts w:ascii="Arial" w:eastAsia="Times New Roman" w:hAnsi="Arial" w:cs="Arial"/>
          <w:sz w:val="18"/>
          <w:szCs w:val="18"/>
        </w:rPr>
        <w:t>Замагурье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..</w:t>
      </w:r>
      <w:proofErr w:type="gramEnd"/>
      <w:r w:rsidRPr="00B56B99">
        <w:rPr>
          <w:rFonts w:ascii="Arial" w:eastAsia="Times New Roman" w:hAnsi="Arial" w:cs="Arial"/>
          <w:sz w:val="18"/>
          <w:szCs w:val="18"/>
        </w:rPr>
        <w:t xml:space="preserve">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також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всіх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охочих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відчути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справжній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адреналін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буде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можливість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спуститися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сухій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слайд-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гірці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(за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додаткову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сплату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 прямо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оглядового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майданчика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! Не забудьте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взяти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собою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фотокамери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такого Ви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точно не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бачили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!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 xml:space="preserve">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можливо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повітряній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стихії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віддаєте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перевагу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водній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?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навіть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готові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випробувати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себе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обох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?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Тоді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вперед на </w:t>
      </w:r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сплав на плотах у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Пієнінському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національному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парку! (25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до 12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– 18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).</w:t>
      </w:r>
      <w:r w:rsidRPr="00B56B99">
        <w:rPr>
          <w:rFonts w:ascii="Arial" w:eastAsia="Times New Roman" w:hAnsi="Arial" w:cs="Arial"/>
          <w:sz w:val="18"/>
          <w:szCs w:val="18"/>
        </w:rPr>
        <w:t xml:space="preserve"> Там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національному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парку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протікає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відома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річка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Дунаєць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сьогодні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проводять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туристичну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атракцію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європейського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значення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– сплав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каньйоном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традиційних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гуральських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дерев'яних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плотах. Траса сплаву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близько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10 км.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протягом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майже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1,5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години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Подорож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дуже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яскрава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залишить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вас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незабутні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враження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Пропонуэмо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завітати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термальних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купалень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Врбов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(20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/18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до 12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вхідний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квиток на 2,5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години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врахований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у вартість)</w:t>
      </w:r>
      <w:r w:rsidRPr="00B56B99">
        <w:rPr>
          <w:rFonts w:ascii="Arial" w:eastAsia="Times New Roman" w:hAnsi="Arial" w:cs="Arial"/>
          <w:sz w:val="18"/>
          <w:szCs w:val="18"/>
        </w:rPr>
        <w:t xml:space="preserve"> –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термальній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купальні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Врбов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знайдете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справжню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геотермальну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воду, яку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вважають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однією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кращих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мінеральних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вод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Центральній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Європі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вмістом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важливих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людського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організму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мінеральних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речовин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Геотермальна вода,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наповнює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витікає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глибини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більше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2000 м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містить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мінерали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сприятливо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впливають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опорно-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рухову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дихальну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нервову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серцево-судинну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системи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також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шкіру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Температура </w:t>
      </w:r>
      <w:r w:rsidRPr="00B56B99">
        <w:rPr>
          <w:rFonts w:ascii="Arial" w:eastAsia="Times New Roman" w:hAnsi="Arial" w:cs="Arial"/>
          <w:sz w:val="18"/>
          <w:szCs w:val="18"/>
        </w:rPr>
        <w:lastRenderedPageBreak/>
        <w:t xml:space="preserve">води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досягає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59°C.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басейнах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підтримується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температура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26 до 38°C.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релаксації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сприяють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форсунки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струменями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води,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знімають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м'язову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напругу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Крім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того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комплекс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відкритий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павільйон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термальною водою, де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можете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оздоровлюючись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насолоджуватися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природою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Повернення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готель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 Вечеря*.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Ночівля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0F1452A" wp14:editId="62F72742">
            <wp:extent cx="1752600" cy="1049655"/>
            <wp:effectExtent l="0" t="0" r="0" b="0"/>
            <wp:docPr id="12" name="Рисунок 12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35" cy="106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3EAA085C" wp14:editId="1C0F9527">
            <wp:extent cx="1670050" cy="1058235"/>
            <wp:effectExtent l="0" t="0" r="6350" b="8890"/>
            <wp:docPr id="11" name="Рисунок 11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32" cy="10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CD9C9F1" wp14:editId="6A24F50B">
            <wp:extent cx="1549400" cy="1053846"/>
            <wp:effectExtent l="0" t="0" r="0" b="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11" cy="106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6D9A6AD" wp14:editId="06DC021C">
            <wp:extent cx="1466093" cy="1028065"/>
            <wp:effectExtent l="0" t="0" r="1270" b="635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4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3 день</w:t>
      </w:r>
    </w:p>
    <w:p w:rsidR="00B56B99" w:rsidRPr="00B56B99" w:rsidRDefault="00B56B99" w:rsidP="00B56B99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Краще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гір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можуть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бути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тільки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гори і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підземний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світ</w:t>
      </w:r>
      <w:proofErr w:type="spellEnd"/>
    </w:p>
    <w:p w:rsidR="00B56B99" w:rsidRPr="00B56B99" w:rsidRDefault="00B56B99" w:rsidP="00B56B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Сніданок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Сьогоднішній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день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присвячений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Високим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Татрам!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Розпочнемо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знайомство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дивовижною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природою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цього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регіону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! Вас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очікує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прогулянка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гірськими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стежками в Старому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Смоковці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+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поїздка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Штрбське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плесо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(10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+ квиток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фунікулер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Старому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Смоковці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15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/13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12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).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височить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найхолодніша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пам'ятка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зимових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Високих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Татр -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Татранський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крижаний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будинок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ми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ласкаво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запрошуємо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Покровителем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цього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крижаного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храму є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святий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Апостол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Євангеліст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Іоанн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Богослов,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який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одночасно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вважається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покровителем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скульпторів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Його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статуя з орлом - символом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Високих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Татр.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Штрбське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Плесо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кажуть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не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зробити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фото при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однойменному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озері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однаково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що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побувати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Парижі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не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зробити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фото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біля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Ейфелевої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вежі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Ви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відчуєте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невидиму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магію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цього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місця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ніби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як озеро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живе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разом з природою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лісами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творять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неймовірну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комбінацію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Підземний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світ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казка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пропонуємо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відвідати</w:t>
      </w:r>
      <w:proofErr w:type="spellEnd"/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Белянську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печеру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(18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/15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15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вхідний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квиток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врахований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вартість)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довжина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3 461 м,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глибина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160 м,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знаходиться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східній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частині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Белянських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Татр.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печері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є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великі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зали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, «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собори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», «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пагоди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», озера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синтрові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озерця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 xml:space="preserve">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продовження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дня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пропонуємо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заглянути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«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Любовнянського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замку» – одного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найстаріших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замків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Любовнянського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граду (15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дорослих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/10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для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дітей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15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років</w:t>
      </w:r>
      <w:proofErr w:type="spellEnd"/>
      <w:proofErr w:type="gramStart"/>
      <w:r w:rsidRPr="00B56B99">
        <w:rPr>
          <w:rFonts w:ascii="Arial" w:eastAsia="Times New Roman" w:hAnsi="Arial" w:cs="Arial"/>
          <w:sz w:val="18"/>
          <w:szCs w:val="18"/>
        </w:rPr>
        <w:t>) ,</w:t>
      </w:r>
      <w:proofErr w:type="gram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дивовижної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історії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Розташований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споконвічно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словацькій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землі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він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належав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Угорщині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пізніше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був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переданий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Польщі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як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королівський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обов'язок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(грамота про передачу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зберігається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музеї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її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край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прикрашає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десяток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сургучових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печаток).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 xml:space="preserve">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закріпити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набуті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знання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пропонуємо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B56B99">
        <w:rPr>
          <w:rFonts w:ascii="Arial" w:eastAsia="Times New Roman" w:hAnsi="Arial" w:cs="Arial"/>
          <w:sz w:val="18"/>
          <w:szCs w:val="18"/>
        </w:rPr>
        <w:t>в аквапарку</w:t>
      </w:r>
      <w:proofErr w:type="gramEnd"/>
      <w:r w:rsidRPr="00B56B99">
        <w:rPr>
          <w:rFonts w:ascii="Arial" w:eastAsia="Times New Roman" w:hAnsi="Arial" w:cs="Arial"/>
          <w:sz w:val="18"/>
          <w:szCs w:val="18"/>
        </w:rPr>
        <w:t> </w:t>
      </w:r>
      <w:r w:rsidRPr="00B56B99">
        <w:rPr>
          <w:rFonts w:ascii="Arial" w:eastAsia="Times New Roman" w:hAnsi="Arial" w:cs="Arial"/>
          <w:b/>
          <w:bCs/>
          <w:sz w:val="18"/>
          <w:szCs w:val="18"/>
        </w:rPr>
        <w:t>«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Aquacity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» (33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дорослі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/25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євро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діти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вхідний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квиток на 3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години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врахований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у вартість)</w:t>
      </w:r>
      <w:r w:rsidRPr="00B56B99">
        <w:rPr>
          <w:rFonts w:ascii="Arial" w:eastAsia="Times New Roman" w:hAnsi="Arial" w:cs="Arial"/>
          <w:sz w:val="18"/>
          <w:szCs w:val="18"/>
        </w:rPr>
        <w:t xml:space="preserve"> -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унікальне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де Ви можете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розслабитись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отримати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задоволення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купання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критих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відкритих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термальних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басейнах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побачити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лазерне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шоу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розважитися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спускаючись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гірках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буде весело!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Повернення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готель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Вечеря*.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Ночівля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414995AF" wp14:editId="3F00262D">
            <wp:extent cx="1595995" cy="1060450"/>
            <wp:effectExtent l="0" t="0" r="4445" b="635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04" cy="10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3C570C1" wp14:editId="48835EE0">
            <wp:extent cx="1571625" cy="1047750"/>
            <wp:effectExtent l="0" t="0" r="9525" b="0"/>
            <wp:docPr id="7" name="Рисунок 7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72DB8B24" wp14:editId="6B75E720">
            <wp:extent cx="1533525" cy="1022350"/>
            <wp:effectExtent l="0" t="0" r="9525" b="6350"/>
            <wp:docPr id="6" name="Рисунок 6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530AAFE" wp14:editId="571C8932">
            <wp:extent cx="1524000" cy="1016000"/>
            <wp:effectExtent l="0" t="0" r="0" b="0"/>
            <wp:docPr id="5" name="Рисунок 5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10" cy="10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4 день</w:t>
      </w:r>
    </w:p>
    <w:p w:rsidR="00B56B99" w:rsidRPr="00B56B99" w:rsidRDefault="00B56B99" w:rsidP="00B56B99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Кошице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-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перлина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Словаччини</w:t>
      </w:r>
      <w:proofErr w:type="spellEnd"/>
    </w:p>
    <w:p w:rsidR="00B56B99" w:rsidRPr="00B56B99" w:rsidRDefault="00B56B99" w:rsidP="00B56B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Сніданок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Виселення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готелю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Виїзд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Кошице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Фінальним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акордом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нашої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пригоди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стане –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екскурсія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 </w:t>
      </w:r>
      <w:r w:rsidRPr="00B56B99">
        <w:rPr>
          <w:rFonts w:ascii="Arial" w:eastAsia="Times New Roman" w:hAnsi="Arial" w:cs="Arial"/>
          <w:b/>
          <w:bCs/>
          <w:sz w:val="18"/>
          <w:szCs w:val="18"/>
        </w:rPr>
        <w:t>«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Кошице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-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перлина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b/>
          <w:bCs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b/>
          <w:bCs/>
          <w:sz w:val="18"/>
          <w:szCs w:val="18"/>
        </w:rPr>
        <w:t>»</w:t>
      </w:r>
      <w:r w:rsidRPr="00B56B99">
        <w:rPr>
          <w:rFonts w:ascii="Arial" w:eastAsia="Times New Roman" w:hAnsi="Arial" w:cs="Arial"/>
          <w:sz w:val="18"/>
          <w:szCs w:val="18"/>
        </w:rPr>
        <w:t xml:space="preserve">. Вас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очікує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оглядова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екскурсія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по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найкрасивішому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обрали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культурною столицею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Європи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2013 року.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час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екскурсії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побачите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всі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головні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визначні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пам'ятки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історичного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центру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: собор Св.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Алжбети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собор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східної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Європи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каплицю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Св.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Михайла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готичну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вежу-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дзвіницю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Св. Урбана,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Чумну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колону,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відомий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оперний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театр,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міську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Ратушу, костел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Єзуїтів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Це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неймовірно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красиве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своєрідною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архітектурою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приголомшливою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центральною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пішохідною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зоною,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місто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відразу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ж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завоює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Ваше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кохання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Головна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пам'ятка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міста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- собор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Святої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Єлизавети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найбільший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Словаччині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і один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із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найбільших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Східній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Європі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>.</w:t>
      </w:r>
    </w:p>
    <w:p w:rsidR="00B56B99" w:rsidRPr="00B56B99" w:rsidRDefault="00B56B99" w:rsidP="00B56B9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Повернення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Україну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Приїзд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в Мукачево у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вечірній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час (в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залежності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від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проходження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кордонів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після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20:30).</w:t>
      </w:r>
    </w:p>
    <w:p w:rsidR="00B56B99" w:rsidRPr="00B56B99" w:rsidRDefault="00B56B99" w:rsidP="00B56B9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noProof/>
          <w:sz w:val="18"/>
          <w:szCs w:val="18"/>
        </w:rPr>
        <w:lastRenderedPageBreak/>
        <w:drawing>
          <wp:inline distT="0" distB="0" distL="0" distR="0" wp14:anchorId="273041C1" wp14:editId="0157534C">
            <wp:extent cx="2228850" cy="1294765"/>
            <wp:effectExtent l="0" t="0" r="0" b="635"/>
            <wp:docPr id="3" name="Рисунок 3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65" cy="1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E233758" wp14:editId="780EEF4D">
            <wp:extent cx="2279650" cy="1289050"/>
            <wp:effectExtent l="0" t="0" r="6350" b="6350"/>
            <wp:docPr id="2" name="Рисунок 2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  <w:lang w:val="uk-UA"/>
        </w:rPr>
        <w:t xml:space="preserve"> </w:t>
      </w:r>
      <w:r w:rsidRPr="00B56B99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FFF5B7D" wp14:editId="3265AC0B">
            <wp:extent cx="1840506" cy="1282065"/>
            <wp:effectExtent l="0" t="0" r="7620" b="0"/>
            <wp:docPr id="1" name="Рисунок 1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11" cy="13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99" w:rsidRPr="00B56B99" w:rsidRDefault="00B56B99" w:rsidP="00B56B9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  <w:shd w:val="clear" w:color="auto" w:fill="48509D"/>
        </w:rPr>
        <w:t>Вартість туру</w:t>
      </w:r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SPO № 1</w:t>
      </w:r>
    </w:p>
    <w:p w:rsidR="00B56B99" w:rsidRPr="00B56B99" w:rsidRDefault="00B56B99" w:rsidP="00B56B99">
      <w:pPr>
        <w:shd w:val="clear" w:color="auto" w:fill="F1874C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</w:rPr>
      </w:pPr>
      <w:r w:rsidRPr="00B56B99">
        <w:rPr>
          <w:rFonts w:ascii="Arial" w:eastAsia="Times New Roman" w:hAnsi="Arial" w:cs="Arial"/>
          <w:b/>
          <w:bCs/>
          <w:sz w:val="18"/>
          <w:szCs w:val="18"/>
        </w:rPr>
        <w:t>225 EUR</w:t>
      </w:r>
    </w:p>
    <w:p w:rsidR="00B56B99" w:rsidRPr="00B56B99" w:rsidRDefault="00B56B99" w:rsidP="00B56B99">
      <w:p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56B99">
        <w:rPr>
          <w:rFonts w:ascii="Arial" w:eastAsia="Times New Roman" w:hAnsi="Arial" w:cs="Arial"/>
          <w:sz w:val="18"/>
          <w:szCs w:val="18"/>
        </w:rPr>
        <w:t xml:space="preserve">При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бронюванні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за 4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тиждні</w:t>
      </w:r>
      <w:proofErr w:type="spellEnd"/>
      <w:r w:rsidRPr="00B56B99">
        <w:rPr>
          <w:rFonts w:ascii="Arial" w:eastAsia="Times New Roman" w:hAnsi="Arial" w:cs="Arial"/>
          <w:sz w:val="18"/>
          <w:szCs w:val="18"/>
        </w:rPr>
        <w:t xml:space="preserve"> до </w:t>
      </w:r>
      <w:proofErr w:type="spellStart"/>
      <w:r w:rsidRPr="00B56B99">
        <w:rPr>
          <w:rFonts w:ascii="Arial" w:eastAsia="Times New Roman" w:hAnsi="Arial" w:cs="Arial"/>
          <w:sz w:val="18"/>
          <w:szCs w:val="18"/>
        </w:rPr>
        <w:t>поїздки</w:t>
      </w:r>
      <w:proofErr w:type="spellEnd"/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Segoe UI"/>
          <w:b/>
          <w:bCs/>
          <w:sz w:val="18"/>
          <w:szCs w:val="18"/>
        </w:rPr>
      </w:pPr>
      <w:proofErr w:type="spellStart"/>
      <w:r w:rsidRPr="00B56B99">
        <w:rPr>
          <w:rFonts w:ascii="Open Sans" w:eastAsia="Times New Roman" w:hAnsi="Open Sans" w:cs="Segoe UI"/>
          <w:b/>
          <w:bCs/>
          <w:sz w:val="18"/>
          <w:szCs w:val="18"/>
        </w:rPr>
        <w:t>Базова</w:t>
      </w:r>
      <w:proofErr w:type="spellEnd"/>
      <w:r w:rsidRPr="00B56B99">
        <w:rPr>
          <w:rFonts w:ascii="Open Sans" w:eastAsia="Times New Roman" w:hAnsi="Open Sans" w:cs="Segoe UI"/>
          <w:b/>
          <w:bCs/>
          <w:sz w:val="18"/>
          <w:szCs w:val="18"/>
        </w:rPr>
        <w:t xml:space="preserve"> вартість</w:t>
      </w:r>
    </w:p>
    <w:p w:rsidR="00B56B99" w:rsidRPr="00B56B99" w:rsidRDefault="00B56B99" w:rsidP="00B56B99">
      <w:pPr>
        <w:shd w:val="clear" w:color="auto" w:fill="F1874C"/>
        <w:spacing w:after="0" w:line="240" w:lineRule="auto"/>
        <w:jc w:val="center"/>
        <w:outlineLvl w:val="5"/>
        <w:rPr>
          <w:rFonts w:ascii="Open Sans" w:eastAsia="Times New Roman" w:hAnsi="Open Sans" w:cs="Segoe UI"/>
          <w:b/>
          <w:bCs/>
          <w:sz w:val="18"/>
          <w:szCs w:val="18"/>
        </w:rPr>
      </w:pPr>
      <w:r w:rsidRPr="00B56B99">
        <w:rPr>
          <w:rFonts w:ascii="Open Sans" w:eastAsia="Times New Roman" w:hAnsi="Open Sans" w:cs="Segoe UI"/>
          <w:b/>
          <w:bCs/>
          <w:sz w:val="18"/>
          <w:szCs w:val="18"/>
        </w:rPr>
        <w:t>235 EUR</w:t>
      </w:r>
    </w:p>
    <w:p w:rsidR="00B56B99" w:rsidRPr="00B56B99" w:rsidRDefault="00B56B99" w:rsidP="00B56B99">
      <w:pPr>
        <w:shd w:val="clear" w:color="auto" w:fill="F5F5F5"/>
        <w:spacing w:before="100" w:beforeAutospacing="1" w:after="100" w:afterAutospacing="1" w:line="240" w:lineRule="auto"/>
        <w:rPr>
          <w:rFonts w:ascii="Open Sans" w:eastAsia="Times New Roman" w:hAnsi="Open Sans" w:cs="Segoe UI"/>
          <w:sz w:val="18"/>
          <w:szCs w:val="18"/>
        </w:rPr>
      </w:pPr>
      <w:r w:rsidRPr="00B56B99">
        <w:rPr>
          <w:rFonts w:ascii="Open Sans" w:eastAsia="Times New Roman" w:hAnsi="Open Sans" w:cs="Segoe UI"/>
          <w:sz w:val="18"/>
          <w:szCs w:val="18"/>
        </w:rPr>
        <w:t xml:space="preserve">Без </w:t>
      </w:r>
      <w:proofErr w:type="spellStart"/>
      <w:r w:rsidRPr="00B56B99">
        <w:rPr>
          <w:rFonts w:ascii="Open Sans" w:eastAsia="Times New Roman" w:hAnsi="Open Sans" w:cs="Segoe UI"/>
          <w:sz w:val="18"/>
          <w:szCs w:val="18"/>
        </w:rPr>
        <w:t>попередньої</w:t>
      </w:r>
      <w:proofErr w:type="spellEnd"/>
      <w:r w:rsidRPr="00B56B99">
        <w:rPr>
          <w:rFonts w:ascii="Open Sans" w:eastAsia="Times New Roman" w:hAnsi="Open Sans" w:cs="Segoe UI"/>
          <w:sz w:val="18"/>
          <w:szCs w:val="18"/>
        </w:rPr>
        <w:t xml:space="preserve"> </w:t>
      </w:r>
      <w:proofErr w:type="spellStart"/>
      <w:r w:rsidRPr="00B56B99">
        <w:rPr>
          <w:rFonts w:ascii="Open Sans" w:eastAsia="Times New Roman" w:hAnsi="Open Sans" w:cs="Segoe UI"/>
          <w:sz w:val="18"/>
          <w:szCs w:val="18"/>
        </w:rPr>
        <w:t>купівлі</w:t>
      </w:r>
      <w:proofErr w:type="spellEnd"/>
      <w:r w:rsidRPr="00B56B99">
        <w:rPr>
          <w:rFonts w:ascii="Open Sans" w:eastAsia="Times New Roman" w:hAnsi="Open Sans" w:cs="Segoe UI"/>
          <w:sz w:val="18"/>
          <w:szCs w:val="18"/>
        </w:rPr>
        <w:t xml:space="preserve"> </w:t>
      </w:r>
      <w:proofErr w:type="spellStart"/>
      <w:r w:rsidRPr="00B56B99">
        <w:rPr>
          <w:rFonts w:ascii="Open Sans" w:eastAsia="Times New Roman" w:hAnsi="Open Sans" w:cs="Segoe UI"/>
          <w:sz w:val="18"/>
          <w:szCs w:val="18"/>
        </w:rPr>
        <w:t>факультативних</w:t>
      </w:r>
      <w:proofErr w:type="spellEnd"/>
      <w:r w:rsidRPr="00B56B99">
        <w:rPr>
          <w:rFonts w:ascii="Open Sans" w:eastAsia="Times New Roman" w:hAnsi="Open Sans" w:cs="Segoe UI"/>
          <w:sz w:val="18"/>
          <w:szCs w:val="18"/>
        </w:rPr>
        <w:t xml:space="preserve"> </w:t>
      </w:r>
      <w:proofErr w:type="spellStart"/>
      <w:r w:rsidRPr="00B56B99">
        <w:rPr>
          <w:rFonts w:ascii="Open Sans" w:eastAsia="Times New Roman" w:hAnsi="Open Sans" w:cs="Segoe UI"/>
          <w:sz w:val="18"/>
          <w:szCs w:val="18"/>
        </w:rPr>
        <w:t>екскурсій</w:t>
      </w:r>
      <w:proofErr w:type="spellEnd"/>
    </w:p>
    <w:p w:rsidR="00B56B99" w:rsidRPr="00B56B99" w:rsidRDefault="00B56B99" w:rsidP="00B56B99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sz w:val="18"/>
          <w:szCs w:val="18"/>
        </w:rPr>
      </w:pPr>
      <w:r w:rsidRPr="00B56B99">
        <w:rPr>
          <w:rFonts w:ascii="Open Sans" w:eastAsia="Times New Roman" w:hAnsi="Open Sans" w:cs="Segoe UI"/>
          <w:b/>
          <w:bCs/>
          <w:sz w:val="18"/>
          <w:szCs w:val="18"/>
        </w:rPr>
        <w:t>Входить у вартість</w:t>
      </w:r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Проїзд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за маршрутом автобусом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єврокласу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Проживання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у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готелях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рівня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3* в номерах з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усіма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зручностями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Медичне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страхування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для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осіб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60-65 р. - 8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для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осіб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старше 66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років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від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16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. Вартість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страхоки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для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дітей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: 0-3 р. - 16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діти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3-6 р. - 8 </w:t>
      </w:r>
      <w:proofErr w:type="spellStart"/>
      <w:proofErr w:type="gram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;;</w:t>
      </w:r>
      <w:proofErr w:type="gramEnd"/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Харчування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–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сніданки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Супровід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керівником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групи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Оглядові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екскурсіі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: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Левоча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Списька-Собота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 </w:t>
      </w:r>
    </w:p>
    <w:p w:rsidR="00B56B99" w:rsidRPr="00B56B99" w:rsidRDefault="00B56B99" w:rsidP="00B56B9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sz w:val="18"/>
          <w:szCs w:val="18"/>
        </w:rPr>
      </w:pPr>
      <w:r w:rsidRPr="00B56B99">
        <w:rPr>
          <w:rFonts w:ascii="Open Sans" w:eastAsia="Times New Roman" w:hAnsi="Open Sans" w:cs="Segoe UI"/>
          <w:b/>
          <w:bCs/>
          <w:sz w:val="18"/>
          <w:szCs w:val="18"/>
        </w:rPr>
        <w:t>Не входить у вартість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Навушники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під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час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екскурсії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за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необхідності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(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близько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2,5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/1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екскурсія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);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Факультативні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екскурсії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Курортний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збір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8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Вхідні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квитки в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екскурсійні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об’єкти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(церкви,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собори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музеї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тощо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);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Додаткових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3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обідо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/вечерь - 55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євро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(без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напоїв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).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Замовлення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та оплата </w:t>
      </w:r>
      <w:proofErr w:type="gramStart"/>
      <w:r w:rsidRPr="00B56B99">
        <w:rPr>
          <w:rFonts w:ascii="Segoe UI" w:eastAsia="Times New Roman" w:hAnsi="Segoe UI" w:cs="Segoe UI"/>
          <w:sz w:val="18"/>
          <w:szCs w:val="18"/>
        </w:rPr>
        <w:t>до початку</w:t>
      </w:r>
      <w:proofErr w:type="gramEnd"/>
      <w:r w:rsidRPr="00B56B99">
        <w:rPr>
          <w:rFonts w:ascii="Segoe UI" w:eastAsia="Times New Roman" w:hAnsi="Segoe UI" w:cs="Segoe UI"/>
          <w:sz w:val="18"/>
          <w:szCs w:val="18"/>
        </w:rPr>
        <w:t xml:space="preserve"> туру;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Проїзд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громадським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транспортом;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Особисті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витрати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;</w:t>
      </w:r>
    </w:p>
    <w:p w:rsidR="00B56B99" w:rsidRPr="00B56B99" w:rsidRDefault="00B56B99" w:rsidP="00B56B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8"/>
          <w:szCs w:val="18"/>
        </w:rPr>
      </w:pPr>
      <w:r w:rsidRPr="00B56B99">
        <w:rPr>
          <w:rFonts w:ascii="Segoe UI" w:eastAsia="Times New Roman" w:hAnsi="Segoe UI" w:cs="Segoe UI"/>
          <w:sz w:val="18"/>
          <w:szCs w:val="18"/>
        </w:rPr>
        <w:t xml:space="preserve">Туристам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із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Києва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Туроператор «САКУМС»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може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надати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послуги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щодо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придбання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залізничних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квитків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Київ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– Мукачево –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Київ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–2300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грн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(купе). При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замовленні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і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оплаті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квитків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за 30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днів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є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знижна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для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дітей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до 14-ти </w:t>
      </w:r>
      <w:proofErr w:type="spellStart"/>
      <w:proofErr w:type="gramStart"/>
      <w:r w:rsidRPr="00B56B99">
        <w:rPr>
          <w:rFonts w:ascii="Segoe UI" w:eastAsia="Times New Roman" w:hAnsi="Segoe UI" w:cs="Segoe UI"/>
          <w:sz w:val="18"/>
          <w:szCs w:val="18"/>
        </w:rPr>
        <w:t>років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  Квитки</w:t>
      </w:r>
      <w:proofErr w:type="gram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можна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купити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самостійно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обов'язково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завчасно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уточніть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у менеджера номер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поїзда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.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Увага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! Вартість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квитків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може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бути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змінена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Туроператором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після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придбання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внаслідок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підняття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тарифів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,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чи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підтвердження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УЗ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дорожчого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B56B99">
        <w:rPr>
          <w:rFonts w:ascii="Segoe UI" w:eastAsia="Times New Roman" w:hAnsi="Segoe UI" w:cs="Segoe UI"/>
          <w:sz w:val="18"/>
          <w:szCs w:val="18"/>
        </w:rPr>
        <w:t>поїзда</w:t>
      </w:r>
      <w:proofErr w:type="spellEnd"/>
      <w:r w:rsidRPr="00B56B99">
        <w:rPr>
          <w:rFonts w:ascii="Segoe UI" w:eastAsia="Times New Roman" w:hAnsi="Segoe UI" w:cs="Segoe UI"/>
          <w:sz w:val="18"/>
          <w:szCs w:val="18"/>
        </w:rPr>
        <w:t>.</w:t>
      </w:r>
    </w:p>
    <w:p w:rsidR="00804E47" w:rsidRPr="00B56B99" w:rsidRDefault="00B56B99">
      <w:pPr>
        <w:rPr>
          <w:sz w:val="18"/>
          <w:szCs w:val="18"/>
        </w:rPr>
      </w:pPr>
    </w:p>
    <w:sectPr w:rsidR="00804E47" w:rsidRPr="00B56B99" w:rsidSect="00B5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23DF"/>
    <w:multiLevelType w:val="multilevel"/>
    <w:tmpl w:val="B3F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93DC6"/>
    <w:multiLevelType w:val="multilevel"/>
    <w:tmpl w:val="48D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8328B"/>
    <w:multiLevelType w:val="multilevel"/>
    <w:tmpl w:val="604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99"/>
    <w:rsid w:val="005B7097"/>
    <w:rsid w:val="00B56B99"/>
    <w:rsid w:val="00D03731"/>
    <w:rsid w:val="00D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10A"/>
  <w15:chartTrackingRefBased/>
  <w15:docId w15:val="{B860ED4E-6C51-4BDD-948F-36F692E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56B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56B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B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B56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56B9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B56B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caption">
    <w:name w:val="left_caption"/>
    <w:basedOn w:val="a0"/>
    <w:rsid w:val="00B5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2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8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7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4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bkADbcgDBgp0wJOrF41JGJzIu8bj9E6ZGjas2f4o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45DL4mjUfTi8lDX2SFC20RlJQpAHebv05w6R2n8z.jpe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kums.com.ua/storage/watermarked/7F444xBJ5K4Jzw3aWZ24N3jQyofLR8SGfx1PRdaM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kqcR7ts6tD9wY5MecPdsPSZd7HZTfcC6t5KUcTf7.jpeg" TargetMode="External"/><Relationship Id="rId25" Type="http://schemas.openxmlformats.org/officeDocument/2006/relationships/hyperlink" Target="https://sakums.com.ua/storage/watermarked/dsOyITDc5P8ZGQEcDMUET4NhP1s2zi2cXtBElWyu.jp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9NFc8I4V9eYlej4VLCmJ15Td8YJQYytihLJWGAyT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tXkAI0oInTKd86mQm3aFjnaVs9PMCqCj2CtOqi8n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akums.com.ua/storage/watermarked/UckAPzZ5zWp00htPj7FjjWNEdYz8xEa5LfDg2YzE.jpeg" TargetMode="External"/><Relationship Id="rId15" Type="http://schemas.openxmlformats.org/officeDocument/2006/relationships/hyperlink" Target="https://sakums.com.ua/storage/watermarked/m9BXPs2zyoBkA2ZU3shjfIJAzT1a3TSfdwtiWAoV.jpeg" TargetMode="External"/><Relationship Id="rId23" Type="http://schemas.openxmlformats.org/officeDocument/2006/relationships/hyperlink" Target="https://sakums.com.ua/storage/watermarked/jucLVRYTF3clxHyQ6c5uYzH53oNXNbFOs8PHfq7f.jpe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MDWhCZukeEU4vyWitUZHMybKOQjDSbCBWSG7dRiw.jpeg" TargetMode="External"/><Relationship Id="rId31" Type="http://schemas.openxmlformats.org/officeDocument/2006/relationships/hyperlink" Target="https://sakums.com.ua/storage/watermarked/YIWBuUKXCGMjjPMu61rE5zMUq6FhwVA8igh4K4Vb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aW7VSv7xduUGiHCM5f12pUQ6xtw6BIOH5gOSqYmT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GOyNjafDigw31n5TW94zAimOiRZ9l2wfqhC4VFf7.jpe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Карпунина</dc:creator>
  <cp:keywords/>
  <dc:description/>
  <cp:lastModifiedBy>Елена Карпунина</cp:lastModifiedBy>
  <cp:revision>1</cp:revision>
  <dcterms:created xsi:type="dcterms:W3CDTF">2024-11-18T09:01:00Z</dcterms:created>
  <dcterms:modified xsi:type="dcterms:W3CDTF">2024-11-18T09:06:00Z</dcterms:modified>
</cp:coreProperties>
</file>