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CF" w:rsidRPr="00017DCF" w:rsidRDefault="00017DCF" w:rsidP="0001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MANDARYN (</w:t>
      </w:r>
      <w:proofErr w:type="gramStart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Мандарин )</w:t>
      </w:r>
      <w:proofErr w:type="gramEnd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- ТАБІР на </w:t>
      </w:r>
      <w:proofErr w:type="spellStart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курорті</w:t>
      </w:r>
      <w:proofErr w:type="spellEnd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</w:t>
      </w:r>
      <w:proofErr w:type="spellStart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Ахелой</w:t>
      </w:r>
      <w:proofErr w:type="spellEnd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, </w:t>
      </w:r>
      <w:proofErr w:type="spellStart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Болгарія</w:t>
      </w:r>
      <w:proofErr w:type="spellEnd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2025</w:t>
      </w:r>
    </w:p>
    <w:p w:rsidR="00017DCF" w:rsidRPr="00017DCF" w:rsidRDefault="00017DCF" w:rsidP="00D86412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"МАНДАРИН"–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це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найкращій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табір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спортивних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танцювальних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творчих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колективів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,</w:t>
      </w:r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br/>
        <w:t xml:space="preserve">-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це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справжній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рай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дитячих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розваг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відпочинку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біля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моря.</w:t>
      </w:r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br/>
        <w:t xml:space="preserve">                                             -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це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-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табір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Болгарії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який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відповідає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всім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міжнародним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стандартам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дитячого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відпочинку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 </w:t>
      </w:r>
    </w:p>
    <w:p w:rsidR="00017DCF" w:rsidRPr="00E2577F" w:rsidRDefault="00017DCF" w:rsidP="00E2577F">
      <w:pPr>
        <w:pStyle w:val="a4"/>
        <w:numPr>
          <w:ilvl w:val="0"/>
          <w:numId w:val="15"/>
        </w:numPr>
        <w:spacing w:before="100" w:beforeAutospacing="1" w:after="0" w:line="240" w:lineRule="auto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перша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лінія</w:t>
      </w:r>
      <w:proofErr w:type="spellEnd"/>
      <w:r w:rsidR="00D86412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bookmarkStart w:id="0" w:name="_GoBack"/>
      <w:bookmarkEnd w:id="0"/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харчування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за системою ALL INCLUSIVE</w:t>
      </w:r>
      <w:r w:rsidR="00D86412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багатофункціональні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спортивні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майданчики</w:t>
      </w:r>
      <w:proofErr w:type="spellEnd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proofErr w:type="spellStart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мультифункціональні</w:t>
      </w:r>
      <w:proofErr w:type="spellEnd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закриті</w:t>
      </w:r>
      <w:proofErr w:type="spellEnd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  </w:t>
      </w:r>
      <w:proofErr w:type="spellStart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зали</w:t>
      </w:r>
      <w:proofErr w:type="spellEnd"/>
      <w:r w:rsidR="00D86412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своя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анімаційна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програма</w:t>
      </w:r>
      <w:proofErr w:type="spellEnd"/>
      <w:r w:rsidR="00D86412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закрита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територія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під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охороною</w:t>
      </w:r>
      <w:proofErr w:type="spellEnd"/>
    </w:p>
    <w:p w:rsidR="00D86412" w:rsidRDefault="00D86412" w:rsidP="00E2577F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</w:pP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Розташування</w:t>
      </w:r>
      <w:proofErr w:type="spellEnd"/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Табір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який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відкритий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дитячих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груп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та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батьків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дітьми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Табір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"МАНДАРИН </w:t>
      </w:r>
      <w:proofErr w:type="gram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* ,</w:t>
      </w:r>
      <w:proofErr w:type="gram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розташувався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першій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лінії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моря в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південній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частині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Болгарії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М’який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теплий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клімат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узбережжя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ідеально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підходить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для спортивного та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оздоровчого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направлення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17DCF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МДМЦ "</w:t>
      </w:r>
      <w:proofErr w:type="spellStart"/>
      <w:r w:rsidRPr="00017DCF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МАНДАРИН"</w:t>
      </w:r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знаходиться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маленькому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містечку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Ахелой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на 1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берегової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лінії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займає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понад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48 000 кв. м.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Відстань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старовинного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м.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Несебр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курорту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Сонячний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берег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лише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5 км.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Місткість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: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повна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місткість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– 2400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 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Приймальна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зона: простора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рецепція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затишний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безкоштовним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WI-FI,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сейфи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(1 сейф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групу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безкоштовно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великі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приміщення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зберігання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багажу, пункт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обміну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валют. 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56058" cy="1038527"/>
            <wp:effectExtent l="0" t="0" r="6350" b="9525"/>
            <wp:docPr id="32" name="Рисунок 32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77" cy="105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7F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81036" cy="1055197"/>
            <wp:effectExtent l="0" t="0" r="635" b="0"/>
            <wp:docPr id="31" name="Рисунок 31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88" cy="109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7F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93188" cy="1063306"/>
            <wp:effectExtent l="0" t="0" r="7620" b="3810"/>
            <wp:docPr id="30" name="Рисунок 30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22" cy="11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7F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85523" cy="1036744"/>
            <wp:effectExtent l="0" t="0" r="0" b="0"/>
            <wp:docPr id="29" name="Рисунок 29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15" cy="108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Розміщення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Проживання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здійснюється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9 корпусах,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пов'язаних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собою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спільними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частинами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рецепцією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ресторанами.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Типи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номерів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Номер "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студія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"(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кількість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номерів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обмежена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)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30 до 40 м2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мають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3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ліжками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кондиціонер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тумбочки,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стільцями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телевізор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платтяну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шафу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душем та туалетом, балкон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літніми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меблями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сушкою;</w:t>
      </w:r>
    </w:p>
    <w:p w:rsidR="00017DCF" w:rsidRPr="00017DCF" w:rsidRDefault="00017DCF" w:rsidP="00017DC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Апартамент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двох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: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апартаменти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50 до 65 м2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складаються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двох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кондиціонер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тумбочки,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стільцями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телевізор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платтяна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шафа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один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душем та туалетом, балкон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літніми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меблями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сушкою.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кожній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3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ліжка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(2+2;2+3);</w:t>
      </w:r>
    </w:p>
    <w:p w:rsidR="00017DCF" w:rsidRPr="00017DCF" w:rsidRDefault="00017DCF" w:rsidP="00017DC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Апартаменти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трьох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65 до 80 м2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складаються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трьох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кондиціонера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тумбочки,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стільцями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телевізор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платтяні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шафи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два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санвузли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душем та туалетом,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балкони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літніми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меблями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сушилками.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одній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ліжка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власний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інших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двох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кімнатах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по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3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ліжка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кожному та один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загальний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коридорі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(2+2+2;2+2+3)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Санвузли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обладнані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душовою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кабіною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gram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 номерах</w:t>
      </w:r>
      <w:proofErr w:type="gram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керівників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є холодильник.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gram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 номерах</w:t>
      </w:r>
      <w:proofErr w:type="gram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проводиться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щоденне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вологе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прибирання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зміна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постільної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білизни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здійснюється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не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рідше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одного разу на 6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днів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заїздів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більше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ніж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сім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ночей,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зміна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рушників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обличчя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душа – один раз на 4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За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плату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пропонується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зміна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білизни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рушників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поза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графіком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 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</w:p>
    <w:p w:rsidR="00017DCF" w:rsidRPr="007228E2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13834" cy="1077085"/>
            <wp:effectExtent l="0" t="0" r="5715" b="8890"/>
            <wp:docPr id="28" name="Рисунок 28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37" cy="10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93188" cy="1063306"/>
            <wp:effectExtent l="0" t="0" r="7620" b="3810"/>
            <wp:docPr id="27" name="Рисунок 27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34" cy="108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712447" cy="1073678"/>
            <wp:effectExtent l="0" t="0" r="0" b="0"/>
            <wp:docPr id="26" name="Рисунок 26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38" cy="112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795494" cy="1049035"/>
            <wp:effectExtent l="0" t="0" r="0" b="0"/>
            <wp:docPr id="25" name="Рисунок 25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88" cy="105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Інфраструктура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красиво озеленена,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скрізь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безліч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квітів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і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доріжок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ігор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відпочинку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облаштовані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майданчики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споруди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Мультифункціональний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закритий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зал 500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кв. м.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прямокутна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форма, </w:t>
      </w:r>
      <w:proofErr w:type="gram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 колон</w:t>
      </w:r>
      <w:proofErr w:type="gram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покриття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ламінат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верстати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дзеркала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призначений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для: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lastRenderedPageBreak/>
        <w:t>- для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хореографії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та балету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 -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дзеркалами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верстатами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- для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художньої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гімнастики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 -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висота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стель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6 м;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- для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бойових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видів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спорту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своєму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розпорядженні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тати;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-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кінозал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- зал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семінарів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тренінгів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мультимедією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250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Зал для йоги,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стрейчингу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пілатесу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озвучною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технікою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Столи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настільний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теніс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Анімаційний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центр;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навчальні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зали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мультимедією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Вокальний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зал;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Чилаут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зал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релаксу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Мінімаркет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сувеніри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пляжні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пакетовані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товари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).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гімнастична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зала 330м2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висотою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стелі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8м;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зал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бойових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спорту 280 м2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двома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тренувальними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рингами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кожен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5м х 5м),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татамі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25мм (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ластівчин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хвіст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),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обладнаний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професійними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боксерськими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грушами та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всім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супутнім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інвентарем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тренувань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TV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студія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відеозйомок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br/>
      </w: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br/>
        <w:t xml:space="preserve">В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кожній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залі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подключений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безкоштовний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WiFi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 xml:space="preserve">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території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амфітеатр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місткістю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500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сценою 85 кв. м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професійним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звуком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світлом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проведення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заходів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фестивалів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конкурсів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тренувань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танців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 500 кв. м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покриттям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керамограніт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спортмайданчик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gram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для пляжного волейболу</w:t>
      </w:r>
      <w:proofErr w:type="gram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8 м х 16 м;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спортмайданчик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пляжного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тенісу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8 м х 16 м;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футбольне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поле 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20 м х 40 м;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проведення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ігрових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естафет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баскетбольні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поля (з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різною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висотою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кілець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 28м х 15м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підсвічуванням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фітнес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споруда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брусами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турниками,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кільцями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тощо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пірс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річці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прогулянок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каное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дитячий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алея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навколо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завдовжки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1000м;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паркування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100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автомобілів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прокат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велосипедів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72670" cy="1116353"/>
            <wp:effectExtent l="0" t="0" r="3810" b="7620"/>
            <wp:docPr id="24" name="Рисунок 24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07" cy="112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49156" cy="1100660"/>
            <wp:effectExtent l="0" t="0" r="8255" b="4445"/>
            <wp:docPr id="23" name="Рисунок 23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08" cy="11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43676" cy="1097002"/>
            <wp:effectExtent l="0" t="0" r="0" b="8255"/>
            <wp:docPr id="21" name="Рисунок 21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752" cy="110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Харчування</w:t>
      </w:r>
      <w:proofErr w:type="spellEnd"/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Організація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харчування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 системою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All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inclusive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Light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здійснюється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просторих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закритій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відкритій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частині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ресторану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загальною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місткістю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1100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- 450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ресторані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„Мета” (280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терасі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170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 та 250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ресторані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„Нова” (150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терасі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100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 і 400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ресорані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"Кара" (230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терасі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і 170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залі</w:t>
      </w:r>
      <w:proofErr w:type="spellEnd"/>
      <w:proofErr w:type="gram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) .</w:t>
      </w:r>
      <w:proofErr w:type="gram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Сніданок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вечеря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подаються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шведському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столі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полудень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видається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порційно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Час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харчування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сніданок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08.00-10.00 год.,</w:t>
      </w:r>
    </w:p>
    <w:p w:rsidR="00017DCF" w:rsidRPr="00017DCF" w:rsidRDefault="00017DCF" w:rsidP="00017D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12.00-14.00 год.,</w:t>
      </w:r>
    </w:p>
    <w:p w:rsidR="00017DCF" w:rsidRPr="00017DCF" w:rsidRDefault="00017DCF" w:rsidP="00017D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полудень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15.30-16.00 год.,</w:t>
      </w:r>
    </w:p>
    <w:p w:rsidR="00017DCF" w:rsidRPr="00017DCF" w:rsidRDefault="00017DCF" w:rsidP="00017D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вечеря 18.00-20.00 год.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Холодні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негазовані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напої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вода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пропонуються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необмежено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час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харчування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гарячі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напої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час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сніданку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lastRenderedPageBreak/>
        <w:t xml:space="preserve">  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97022" cy="1065865"/>
            <wp:effectExtent l="0" t="0" r="3810" b="1270"/>
            <wp:docPr id="20" name="Рисунок 20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445" cy="10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65139" cy="1044586"/>
            <wp:effectExtent l="0" t="0" r="0" b="3175"/>
            <wp:docPr id="19" name="Рисунок 19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96" cy="108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37090" cy="1025866"/>
            <wp:effectExtent l="0" t="0" r="6350" b="3175"/>
            <wp:docPr id="18" name="Рисунок 18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78" cy="106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48309" cy="1033353"/>
            <wp:effectExtent l="0" t="0" r="0" b="0"/>
            <wp:docPr id="17" name="Рисунок 17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24" cy="10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Басейн</w:t>
      </w:r>
      <w:proofErr w:type="spellEnd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, пляж, </w:t>
      </w: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безпека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Басейни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: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збудовано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два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величезні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басейни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 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басейнів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обладнана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парасольками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шезлонгами,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також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платними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барами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безкоштовним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Wi-Fi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i/>
          <w:iCs/>
          <w:color w:val="212529"/>
          <w:sz w:val="18"/>
          <w:szCs w:val="18"/>
          <w:lang w:val="ru-RU" w:eastAsia="ru-RU"/>
        </w:rPr>
        <w:t>Басейн</w:t>
      </w:r>
      <w:proofErr w:type="spellEnd"/>
      <w:r w:rsidRPr="00017DCF">
        <w:rPr>
          <w:rFonts w:ascii="Open Sans" w:eastAsia="Times New Roman" w:hAnsi="Open Sans" w:cs="Times New Roman"/>
          <w:b/>
          <w:bCs/>
          <w:i/>
          <w:iCs/>
          <w:color w:val="212529"/>
          <w:sz w:val="18"/>
          <w:szCs w:val="18"/>
          <w:lang w:val="ru-RU" w:eastAsia="ru-RU"/>
        </w:rPr>
        <w:t xml:space="preserve"> 1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1000м2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складається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наступних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секторів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сектор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малюків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30 см;</w:t>
      </w:r>
    </w:p>
    <w:p w:rsidR="00017DCF" w:rsidRPr="00017DCF" w:rsidRDefault="00017DCF" w:rsidP="00017D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дитячий сектор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60 см;</w:t>
      </w:r>
    </w:p>
    <w:p w:rsidR="00017DCF" w:rsidRPr="00017DCF" w:rsidRDefault="00017DCF" w:rsidP="00017D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сектор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неправильної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форми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 м до 1,35 м;</w:t>
      </w:r>
    </w:p>
    <w:p w:rsidR="00017DCF" w:rsidRPr="00017DCF" w:rsidRDefault="00017DCF" w:rsidP="00017D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зона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тренувань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прямокутної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форми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1,60 </w:t>
      </w:r>
      <w:proofErr w:type="gram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  та</w:t>
      </w:r>
      <w:proofErr w:type="gram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можливістю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4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доріжок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довжиною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25 м та шириною 1.70 м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кожна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зона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відокремлена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інших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частин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перегородкою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i/>
          <w:iCs/>
          <w:color w:val="212529"/>
          <w:sz w:val="18"/>
          <w:szCs w:val="18"/>
          <w:lang w:val="ru-RU" w:eastAsia="ru-RU"/>
        </w:rPr>
        <w:t>Басейн</w:t>
      </w:r>
      <w:proofErr w:type="spellEnd"/>
      <w:r w:rsidRPr="00017DCF">
        <w:rPr>
          <w:rFonts w:ascii="Open Sans" w:eastAsia="Times New Roman" w:hAnsi="Open Sans" w:cs="Times New Roman"/>
          <w:b/>
          <w:bCs/>
          <w:i/>
          <w:iCs/>
          <w:color w:val="212529"/>
          <w:sz w:val="18"/>
          <w:szCs w:val="18"/>
          <w:lang w:val="ru-RU" w:eastAsia="ru-RU"/>
        </w:rPr>
        <w:t xml:space="preserve"> 2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750м2 –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довжина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основного сектора 50м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тренувань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прилеглим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дитячим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сектором. 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басейну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обладнана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парасольками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шезлонгами,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також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баром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безкоштовним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WI-FI.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93545" cy="1015787"/>
            <wp:effectExtent l="0" t="0" r="1905" b="0"/>
            <wp:docPr id="16" name="Рисунок 16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94" cy="10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723691" cy="1002665"/>
            <wp:effectExtent l="0" t="0" r="0" b="6985"/>
            <wp:docPr id="15" name="Рисунок 15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05" cy="102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69027" cy="1025319"/>
            <wp:effectExtent l="0" t="0" r="0" b="3810"/>
            <wp:docPr id="14" name="Рисунок 14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88" cy="10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74736" cy="1017909"/>
            <wp:effectExtent l="0" t="0" r="0" b="0"/>
            <wp:docPr id="13" name="Рисунок 13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79" cy="10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Анімація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комплексі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буде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проводитись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анімаційна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програма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,</w:t>
      </w:r>
      <w:proofErr w:type="gram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 яка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7-ми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річний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досвід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організації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дитячо-юнацьких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міжнародних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центрів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Болгарії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Україні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також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міжнародних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конкурсів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фестивалів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заходів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шоу-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програм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Влітку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2025 р </w:t>
      </w:r>
      <w:proofErr w:type="gram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акцентами 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будуть</w:t>
      </w:r>
      <w:proofErr w:type="spellEnd"/>
      <w:proofErr w:type="gram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як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спортивні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активності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, так і культурно-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розважальні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заходи: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Спортивні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заходи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естафети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олімпіади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турніри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);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Анімація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пляжі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басейні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Вечірні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заходи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творчі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конкурси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шоу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програми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);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Різноманітні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гуртки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тренінги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майстер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класи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Денні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тематичні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шоу.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дітьми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працює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професійна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міжнародна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команда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аніматорів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великим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досвідом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сфері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дитячого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відпочинку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Кожен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вечір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закінчується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дискотекою.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родзинка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табору –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денне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пінне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шоу.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Наші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аніматори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подбають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і про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щоденну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анімацію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А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дорослих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гостей комплексу ми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пропонуємо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спеціальний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розважальний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пакет.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060222" cy="1105134"/>
            <wp:effectExtent l="0" t="0" r="6985" b="0"/>
            <wp:docPr id="11" name="Рисунок 11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12" cy="11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38066" cy="1093258"/>
            <wp:effectExtent l="0" t="0" r="635" b="0"/>
            <wp:docPr id="10" name="Рисунок 10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451" cy="11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70749" cy="1048330"/>
            <wp:effectExtent l="0" t="0" r="0" b="0"/>
            <wp:docPr id="9" name="Рисунок 9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16" cy="107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Пляж, </w:t>
      </w: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безпека</w:t>
      </w:r>
      <w:proofErr w:type="spellEnd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, медицина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Пляж: 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пляж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безпосередньо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примикає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табору, а про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безпеку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дбають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рятувальники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Безпека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: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цілодобово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охороняється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огороджена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всьому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периметру, оснащена системою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відеоспостереження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що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забезпечує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неприпустимість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самостійного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виходу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неприпустимість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несанкціонованого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проникнення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сторонніх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осіб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Житлові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корпуси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інші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приміщення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також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знаходяться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цілодобовою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охороною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lastRenderedPageBreak/>
        <w:t>відеоспостереженням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готелю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піддається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планової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дезінсекції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дератизації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нетоксичними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речовинами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Корпуси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готелю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оснащені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сучасною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протипожежною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системою.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Медична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допомога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: 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розташований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медичний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кабінет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ізолятором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кабінет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лікаря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працює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18.00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години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а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інший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час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черговий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лікар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приїжджає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виклик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При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необхідності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стаціонарного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лікування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дитина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госпіталізується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спеціалізований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лікувальний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заклад,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яким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укладено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договір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надання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медичні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послуги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69772" cy="980938"/>
            <wp:effectExtent l="0" t="0" r="0" b="0"/>
            <wp:docPr id="8" name="Рисунок 8" descr="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41" cy="10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03431" cy="1003402"/>
            <wp:effectExtent l="0" t="0" r="1905" b="6350"/>
            <wp:docPr id="7" name="Рисунок 7" descr="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60" cy="10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65139" cy="1044585"/>
            <wp:effectExtent l="0" t="0" r="0" b="3175"/>
            <wp:docPr id="6" name="Рисунок 6" descr="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87" cy="110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76358" cy="1052074"/>
            <wp:effectExtent l="0" t="0" r="5080" b="0"/>
            <wp:docPr id="5" name="Рисунок 5" descr="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77" cy="106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Екскурсії</w:t>
      </w:r>
      <w:proofErr w:type="spellEnd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, </w:t>
      </w: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фестивалі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Екскурсії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: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різноманітна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екскурсійна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програма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що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включає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себе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селекцію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самих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вподобаних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заходів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нашому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регіоні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: культурно-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історичні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традиційні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болгарські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,</w:t>
      </w:r>
      <w:proofErr w:type="gram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водні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атракції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морські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пригоди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оффроуд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маршрути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і т.д.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Фестивалі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*: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міжнародні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дитячі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творчі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фестивалі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„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Нестія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“ „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Сонце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-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Радість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-Краса”, „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Сузір'я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Несебрі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”, „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Острів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мистецтв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” в м.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Несебрі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червні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липні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серпні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Власний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фестиваль „МОРСЬКА ПЕРЛА“,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відбудеться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тричі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влітку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2025 р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умови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участі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дати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уточнюються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).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54896" cy="1003803"/>
            <wp:effectExtent l="0" t="0" r="2540" b="6350"/>
            <wp:docPr id="4" name="Рисунок 4" descr="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33" cy="102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727824" cy="983615"/>
            <wp:effectExtent l="0" t="0" r="6350" b="6985"/>
            <wp:docPr id="3" name="Рисунок 3" descr="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47" cy="100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284648" cy="963647"/>
            <wp:effectExtent l="0" t="0" r="0" b="8255"/>
            <wp:docPr id="2" name="Рисунок 2" descr="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82" cy="9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43050" cy="964661"/>
            <wp:effectExtent l="0" t="0" r="0" b="6985"/>
            <wp:docPr id="1" name="Рисунок 1" descr="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n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67" cy="9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Вартість туру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1739"/>
        <w:gridCol w:w="628"/>
        <w:gridCol w:w="984"/>
        <w:gridCol w:w="628"/>
        <w:gridCol w:w="984"/>
        <w:gridCol w:w="708"/>
        <w:gridCol w:w="1072"/>
      </w:tblGrid>
      <w:tr w:rsidR="007228E2" w:rsidRPr="00017DCF" w:rsidTr="00017DC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 xml:space="preserve">Дата </w:t>
            </w:r>
            <w:proofErr w:type="spellStart"/>
            <w:r w:rsidRPr="00017DCF"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>виїзду</w:t>
            </w:r>
            <w:proofErr w:type="spellEnd"/>
            <w:r w:rsidRPr="00017DCF"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017DCF"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>Кількість</w:t>
            </w:r>
            <w:proofErr w:type="spellEnd"/>
            <w:r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>днів</w:t>
            </w:r>
            <w:proofErr w:type="spellEnd"/>
            <w:r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>турі</w:t>
            </w:r>
            <w:proofErr w:type="spellEnd"/>
            <w:r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 xml:space="preserve"> / </w:t>
            </w:r>
            <w:r w:rsidR="00017DCF" w:rsidRPr="00017DCF"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>к-</w:t>
            </w:r>
            <w:proofErr w:type="spellStart"/>
            <w:r w:rsidR="00017DCF" w:rsidRPr="00017DCF"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>сть</w:t>
            </w:r>
            <w:proofErr w:type="spellEnd"/>
            <w:r w:rsidR="00017DCF" w:rsidRPr="00017DCF"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 xml:space="preserve"> ночей</w:t>
            </w:r>
            <w:r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  <w:t>таборі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Вартість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Вартість 15+2, 10+1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для </w:t>
            </w:r>
            <w:proofErr w:type="spellStart"/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індивідуальних</w:t>
            </w:r>
            <w:proofErr w:type="spellEnd"/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дітей</w:t>
            </w:r>
            <w:proofErr w:type="spellEnd"/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DCF" w:rsidRPr="00017DCF" w:rsidRDefault="00017DCF" w:rsidP="00017DCF">
            <w:pPr>
              <w:spacing w:after="0" w:line="240" w:lineRule="auto"/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DCF" w:rsidRPr="00017DCF" w:rsidRDefault="00017DCF" w:rsidP="00017DCF">
            <w:pPr>
              <w:spacing w:after="0" w:line="240" w:lineRule="auto"/>
              <w:rPr>
                <w:rFonts w:ascii="Open Sans" w:eastAsia="Times New Roman" w:hAnsi="Open Sans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480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01.06, 05.06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580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07.06, 11.06, 12.06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490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590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610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16.06, 20.06, 21.06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525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17.06, 21.06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630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25.06, 29.06, 30.06, 04.07, 08.07, 09.07, 13.07, 17.07, 18.07, 22.07, 26.07, 27.07, 31.07, 04.08, 05.08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535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25.06, 29.06, 03.07,07.07, 11.07, 15.07,19.07,23.07, 27.07, 31.07,04.08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640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09.08, 13.08, 14.08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520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08.08,12.08,16.08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630</w:t>
            </w:r>
          </w:p>
        </w:tc>
      </w:tr>
      <w:tr w:rsidR="007228E2" w:rsidRPr="00017DCF" w:rsidTr="00017D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18.08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7228E2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</w:t>
            </w:r>
            <w:r w:rsidR="00017DCF"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7DCF" w:rsidRPr="00017DCF" w:rsidRDefault="00017DCF" w:rsidP="00017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17DC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510</w:t>
            </w:r>
          </w:p>
        </w:tc>
      </w:tr>
    </w:tbl>
    <w:p w:rsidR="00017DCF" w:rsidRPr="00017DCF" w:rsidRDefault="00017DCF" w:rsidP="00017DCF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</w:p>
    <w:p w:rsidR="00017DCF" w:rsidRPr="00017DCF" w:rsidRDefault="00017DCF" w:rsidP="00017DCF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*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Безкоштовні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місця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керівників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груп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15+1, 15+2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надаються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при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умові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бронювання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до 18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років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!!!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</w:p>
    <w:p w:rsidR="00017DCF" w:rsidRPr="00017DCF" w:rsidRDefault="00017DCF" w:rsidP="00017DCF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  <w:t>Входить у вартість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lastRenderedPageBreak/>
        <w:t>автобус: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проїзд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автобусі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єврокласу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проживання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готелі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(2+2; 2+3; 2+2+2; 2+4);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харчування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ALL INCLUSIVE LIGHT,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шведський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стіл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курортна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такса;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анімаційна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програма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користування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басейнами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користування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спортивними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залами,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спортивними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майданчиками</w:t>
      </w:r>
      <w:proofErr w:type="spellEnd"/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медичне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страхування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  <w:t>Не входить у вартість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екскурсії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депозит - 10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сухий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пайок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зворотню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дорогу (</w:t>
      </w:r>
      <w:proofErr w:type="gram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за 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бажанням</w:t>
      </w:r>
      <w:proofErr w:type="spellEnd"/>
      <w:proofErr w:type="gram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) - 10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доплата за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обід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вечерю 10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(при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пізньому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від'їзді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,  за</w:t>
      </w:r>
      <w:proofErr w:type="gram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бажанням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);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доплата за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сніданок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5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(при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ранньому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заїзді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за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бажанням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).</w:t>
      </w:r>
    </w:p>
    <w:p w:rsidR="00F118CC" w:rsidRPr="00D86412" w:rsidRDefault="00F118CC">
      <w:pPr>
        <w:rPr>
          <w:sz w:val="18"/>
          <w:szCs w:val="18"/>
          <w:lang w:val="ru-RU"/>
        </w:rPr>
      </w:pPr>
    </w:p>
    <w:sectPr w:rsidR="00F118CC" w:rsidRPr="00D86412" w:rsidSect="00017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9ED"/>
    <w:multiLevelType w:val="multilevel"/>
    <w:tmpl w:val="E46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A57F7"/>
    <w:multiLevelType w:val="multilevel"/>
    <w:tmpl w:val="E87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214C1"/>
    <w:multiLevelType w:val="multilevel"/>
    <w:tmpl w:val="ACF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22677"/>
    <w:multiLevelType w:val="multilevel"/>
    <w:tmpl w:val="C35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D568A"/>
    <w:multiLevelType w:val="multilevel"/>
    <w:tmpl w:val="88FC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45BFF"/>
    <w:multiLevelType w:val="hybridMultilevel"/>
    <w:tmpl w:val="32DC8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A4B50"/>
    <w:multiLevelType w:val="hybridMultilevel"/>
    <w:tmpl w:val="DC4E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2784"/>
    <w:multiLevelType w:val="multilevel"/>
    <w:tmpl w:val="6C9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9369C"/>
    <w:multiLevelType w:val="hybridMultilevel"/>
    <w:tmpl w:val="6BB0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332F4"/>
    <w:multiLevelType w:val="hybridMultilevel"/>
    <w:tmpl w:val="D590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A2A32"/>
    <w:multiLevelType w:val="multilevel"/>
    <w:tmpl w:val="0CB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B7380"/>
    <w:multiLevelType w:val="hybridMultilevel"/>
    <w:tmpl w:val="76CA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92C06"/>
    <w:multiLevelType w:val="multilevel"/>
    <w:tmpl w:val="3ECE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E63A2"/>
    <w:multiLevelType w:val="multilevel"/>
    <w:tmpl w:val="FF4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B6D32"/>
    <w:multiLevelType w:val="multilevel"/>
    <w:tmpl w:val="B13C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30"/>
    <w:rsid w:val="00017DCF"/>
    <w:rsid w:val="00223430"/>
    <w:rsid w:val="007228E2"/>
    <w:rsid w:val="00D86412"/>
    <w:rsid w:val="00E2577F"/>
    <w:rsid w:val="00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680A"/>
  <w15:chartTrackingRefBased/>
  <w15:docId w15:val="{D40D0642-3AF6-42C3-87E6-BB38E13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17D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17DCF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  <w:rsid w:val="00017DCF"/>
  </w:style>
  <w:style w:type="paragraph" w:styleId="a3">
    <w:name w:val="Normal (Web)"/>
    <w:basedOn w:val="a"/>
    <w:uiPriority w:val="99"/>
    <w:semiHidden/>
    <w:unhideWhenUsed/>
    <w:rsid w:val="0001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8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8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0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0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36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7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27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62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8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4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8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18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32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2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47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2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72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09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2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4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68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95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95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3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2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56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77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7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9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4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2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6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1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03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97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86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21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2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0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9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9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05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1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35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0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5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5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1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4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9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7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9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9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0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07hO4lu87uhYpiCHmzKF4TMZ8jGuLCgfFjznQTER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akums.com.ua/storage/watermarked/xcSFziOYKdmbZqioWttDFwsejcun0fT7jgVwsUGv.jpeg" TargetMode="External"/><Relationship Id="rId21" Type="http://schemas.openxmlformats.org/officeDocument/2006/relationships/hyperlink" Target="https://sakums.com.ua/storage/watermarked/qA7jiuXmLC8PrJxB10hJKzvWmWZPacj1d1MjkmOm.jpe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sakums.com.ua/storage/watermarked/65cunwK4z9zAiNJWK8cKwnxMWcQxkjPTb0M4VTkI.jpe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sakums.com.ua/storage/watermarked/SJtKGoiEgcFRz2wvnS5F3SNGiUbWb49Csy0QThvd.jpeg" TargetMode="External"/><Relationship Id="rId63" Type="http://schemas.openxmlformats.org/officeDocument/2006/relationships/hyperlink" Target="https://sakums.com.ua/storage/watermarked/WM21o3bAzJKJuJY8RMHSDVsWDQvmWbmgafuhlgTU.jpeg" TargetMode="External"/><Relationship Id="rId7" Type="http://schemas.openxmlformats.org/officeDocument/2006/relationships/hyperlink" Target="https://sakums.com.ua/storage/watermarked/Y97IhAK5xLswhtfJ8eCuZglYhiX7Dmra132QZpao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zrI29T13kaJJ5zBT0X0e7fIAOq1wGLL5bt3HUv3S.jpeg" TargetMode="External"/><Relationship Id="rId41" Type="http://schemas.openxmlformats.org/officeDocument/2006/relationships/hyperlink" Target="https://sakums.com.ua/storage/watermarked/7gaejWCv4sXDb1cXvJ1X0nZKe2pjL5sWDJeXfTMj.jpe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RhHUXJnIgTYtj1kcuiqCwTPfnZjkC8CWaaQfwVYB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akums.com.ua/storage/watermarked/gMCKIOv8YESwz55QGWwsGIIPBrdJF83Ap26MSQoI.jpe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sakums.com.ua/storage/watermarked/YXRsKy5gGNTlvYK8QNvh77x7vehRYxKGmfJKNSSG.jpeg" TargetMode="External"/><Relationship Id="rId53" Type="http://schemas.openxmlformats.org/officeDocument/2006/relationships/hyperlink" Target="https://sakums.com.ua/storage/watermarked/WNP8oXRHtEI8Qngyvy9nlmYUQqV1Nla6rbRGAfEI.jpeg" TargetMode="External"/><Relationship Id="rId58" Type="http://schemas.openxmlformats.org/officeDocument/2006/relationships/image" Target="media/image27.jpeg"/><Relationship Id="rId66" Type="http://schemas.openxmlformats.org/officeDocument/2006/relationships/theme" Target="theme/theme1.xml"/><Relationship Id="rId5" Type="http://schemas.openxmlformats.org/officeDocument/2006/relationships/hyperlink" Target="https://sakums.com.ua/storage/watermarked/Cq0LcbeLUkR6aL6g7VNHLJ2cstbIw8xs3udM235F.jpeg" TargetMode="External"/><Relationship Id="rId15" Type="http://schemas.openxmlformats.org/officeDocument/2006/relationships/hyperlink" Target="https://sakums.com.ua/storage/watermarked/zKA68umQwg1LCLMomBAW8pSmScAcUESrzqDvEQVk.jpeg" TargetMode="External"/><Relationship Id="rId23" Type="http://schemas.openxmlformats.org/officeDocument/2006/relationships/hyperlink" Target="https://sakums.com.ua/storage/watermarked/EqdMVAsYYRj1zz7pqYzvEBgYN8SJRCxur4CY2MYo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sakums.com.ua/storage/watermarked/s7dgpVJyFYjmjinNQRDVzZkCq0m0uC10KKWKmaGR.jpeg" TargetMode="External"/><Relationship Id="rId57" Type="http://schemas.openxmlformats.org/officeDocument/2006/relationships/hyperlink" Target="https://sakums.com.ua/storage/watermarked/VjAa2uwggauCNMbuftw1tJzt6QWmDlmq3Y41p2tW.jpeg" TargetMode="External"/><Relationship Id="rId61" Type="http://schemas.openxmlformats.org/officeDocument/2006/relationships/hyperlink" Target="https://sakums.com.ua/storage/watermarked/kBa6Gmk1cwxbdiFAMbW7GJkjAlVoImwcxdqkdoUh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TNvP1HFylsreEHtd0d2Swl4w8VhTxuTzMKBxIvlh.jpeg" TargetMode="External"/><Relationship Id="rId31" Type="http://schemas.openxmlformats.org/officeDocument/2006/relationships/hyperlink" Target="https://sakums.com.ua/storage/watermarked/RyC5mQW9WdYy5q7m8yOXqOGsm4zeUH9wXv9skI71.jpe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vaqWpLC2Kqt00BHnduuiR8IA0ihV5vjB0kytoo6T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m9tm2QHrjoCt05g4lykz2dE9xlYaWx5M88AKNeFx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akums.com.ua/storage/watermarked/lCYV23dIxCu1AxoJb7vDMX6OwIUAV8S881NFlgoA.jpeg" TargetMode="External"/><Relationship Id="rId43" Type="http://schemas.openxmlformats.org/officeDocument/2006/relationships/hyperlink" Target="https://sakums.com.ua/storage/watermarked/jlJZI20ZaEd3qa7pJjIweLXvPwIHDLURe24xGwuT.jpe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8" Type="http://schemas.openxmlformats.org/officeDocument/2006/relationships/image" Target="media/image2.jpeg"/><Relationship Id="rId51" Type="http://schemas.openxmlformats.org/officeDocument/2006/relationships/hyperlink" Target="https://sakums.com.ua/storage/watermarked/gSUwN2G1b1fs93hJdxUqXveQsaLvjCdDyJ58tAXh.jpe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qW3WFE8jNETzTXopFUD4zerl45aRFwIkHDgPdJ1z.jpeg" TargetMode="External"/><Relationship Id="rId25" Type="http://schemas.openxmlformats.org/officeDocument/2006/relationships/hyperlink" Target="https://sakums.com.ua/storage/watermarked/dOkqIbLVJDl0ZCAhpy1dQfckrX2DW09iXzP8SrzI.jpeg" TargetMode="External"/><Relationship Id="rId33" Type="http://schemas.openxmlformats.org/officeDocument/2006/relationships/hyperlink" Target="https://sakums.com.ua/storage/watermarked/FTQ0uyOkBNVyACIYDrloxPCpjhrZSAbKSPMVltLS.jpe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sakums.com.ua/storage/watermarked/CKPzbD2w3XwXdtVb735ysx7Pw8GvwmrJvLZWsEfu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Елена</dc:creator>
  <cp:keywords/>
  <dc:description/>
  <cp:lastModifiedBy>Елена Карпунина</cp:lastModifiedBy>
  <cp:revision>2</cp:revision>
  <dcterms:created xsi:type="dcterms:W3CDTF">2024-11-14T09:05:00Z</dcterms:created>
  <dcterms:modified xsi:type="dcterms:W3CDTF">2024-11-14T09:05:00Z</dcterms:modified>
</cp:coreProperties>
</file>