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78629E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r w:rsidRPr="0078629E">
        <w:rPr>
          <w:rFonts w:ascii="Verdana" w:hAnsi="Verdana"/>
          <w:b/>
          <w:sz w:val="24"/>
          <w:szCs w:val="24"/>
        </w:rPr>
        <w:t>ІТАЛІЙСЬКА РОМАНТИКА ГРАНД (шкільні канікули)</w:t>
      </w:r>
    </w:p>
    <w:bookmarkEnd w:id="0"/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25.10.2025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01.11.2025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06.12.2025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20.12.2025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21.03.2026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28.03.2026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25.04.2026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02.05.2026</w:t>
      </w:r>
    </w:p>
    <w:p w:rsidR="0078629E" w:rsidRPr="0078629E" w:rsidRDefault="0078629E" w:rsidP="0078629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78629E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24.10.2026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1D005D" w:rsidRDefault="0078629E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4"/>
          <w:szCs w:val="20"/>
        </w:rPr>
      </w:pPr>
      <w:r>
        <w:rPr>
          <w:rFonts w:ascii="Open Sans" w:hAnsi="Open Sans"/>
          <w:b/>
          <w:bCs/>
          <w:color w:val="FFFFFF"/>
          <w:shd w:val="clear" w:color="auto" w:fill="49B162"/>
        </w:rPr>
        <w:t>Знайомство з Угорщиною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Прибуття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Мукачево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представником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компанії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Сакумс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автобусу (автобус буде подано на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парковку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привокзальній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Орієнтовний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збору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- 06:50. Посадка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комфортабельний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автобус.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кордон о 07:00. Час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змінюватись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просимо перед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бронюванням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туру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уточнювати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gram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до Будапешту</w:t>
      </w:r>
      <w:proofErr w:type="gram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"Будапешт -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перлина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Дунаю"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10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proofErr w:type="gram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)</w:t>
      </w:r>
      <w:proofErr w:type="gram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Старовинна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Буда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елегантний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Пешт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сполучені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двохмільйонний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мегаполіс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розділяє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величний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Дунай.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Головна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Героїв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Вайдахуняд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готичний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Богородиці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(Св.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Матяша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тераси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Рибацького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бастіону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Королівський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Поєднання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природи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Будапешт!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Будапешті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*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завершенням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дня для Вас стане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"Будапешт в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ілюмінації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(30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25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захоплююча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 кораблику</w:t>
      </w:r>
      <w:proofErr w:type="gram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Дунаєм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святково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ілюмінованими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мостами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солодким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напоєм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бокалом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шампанського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отримаєте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насолоду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шедеврів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прикрашають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набережну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Рибацький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Бастіон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Королівський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палац, Парламент і мости,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пропливаючи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обов’язково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загадати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неодмінно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здійсниться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78629E" w:rsidRDefault="0078629E" w:rsidP="007862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Переїзд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транзитний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ночівля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F43341" w:rsidRPr="0078629E" w:rsidRDefault="00F43341" w:rsidP="00F433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1752600" cy="1172308"/>
            <wp:effectExtent l="0" t="0" r="0" b="8890"/>
            <wp:docPr id="5" name="Рисунок 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67" cy="11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105025" cy="1185831"/>
            <wp:effectExtent l="0" t="0" r="0" b="0"/>
            <wp:docPr id="11" name="Рисунок 1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23" cy="11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90700" cy="1193800"/>
            <wp:effectExtent l="0" t="0" r="0" b="6350"/>
            <wp:docPr id="15" name="Рисунок 1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78629E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78629E" w:rsidRDefault="0078629E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Кавова столиця Італії- Трієст</w:t>
      </w:r>
    </w:p>
    <w:p w:rsidR="0078629E" w:rsidRPr="0078629E" w:rsidRDefault="0078629E" w:rsidP="007862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Виселення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готелю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Виїзд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Італію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Вас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Кавова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столиця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Трієст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/15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заїзд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10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трансфер). Ви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речей –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давня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базиліка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Св. Юста,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романтичний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Мірамаре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православний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 Св.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Михайла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римський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театр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віком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близько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2000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любителів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шопінгу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просто рай. За свою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двохтисячну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історію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Трієст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побував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владою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Венеціанської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республіки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присягав Габсбургам,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імператорським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Австро-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угорським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портом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Середземномор’ї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належав то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Німеччині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то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Тут все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просякнуте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ароматом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кави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адже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виробляється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знаменита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італійська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кава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Вас буде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прогулятись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Мірамаре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замок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шотландському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стилі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узбережжі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околицях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Трієста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праву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вважається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найвідомішою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пам'яткою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Замок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побудований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наказом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ерцгерцога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Максиміліана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став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резиденцією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менш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сама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будівля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розбитий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ньому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сад,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займає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близько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22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гектарів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Тут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ерцгерцог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висаджував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екзотичні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рослини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привозив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подорожей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/вечеря*.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готель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Ночівля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.</w:t>
      </w:r>
    </w:p>
    <w:p w:rsidR="00F43341" w:rsidRPr="0078629E" w:rsidRDefault="00F43341" w:rsidP="00F433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66850" cy="1051505"/>
            <wp:effectExtent l="0" t="0" r="0" b="0"/>
            <wp:docPr id="16" name="Рисунок 1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02" cy="107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62100" cy="1041400"/>
            <wp:effectExtent l="0" t="0" r="0" b="6350"/>
            <wp:docPr id="17" name="Рисунок 1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62100" cy="1041400"/>
            <wp:effectExtent l="0" t="0" r="0" b="6350"/>
            <wp:docPr id="18" name="Рисунок 1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87726" cy="1040765"/>
            <wp:effectExtent l="0" t="0" r="8255" b="6985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5" cy="10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747" w:rsidRPr="0078629E" w:rsidRDefault="00974747" w:rsidP="001D0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659D2" w:rsidRPr="0078629E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78629E" w:rsidRDefault="0078629E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Прекрасна Верона – серце закоханих та чарівне озеро Гарда</w:t>
      </w:r>
    </w:p>
    <w:p w:rsidR="0078629E" w:rsidRPr="0078629E" w:rsidRDefault="0078629E" w:rsidP="007862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«Прекрасна Верона –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серце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закоханих</w:t>
      </w:r>
      <w:proofErr w:type="spellEnd"/>
      <w:proofErr w:type="gram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proofErr w:type="gram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Вас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екскурсія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романтичним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Вероною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увібрала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себе все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півночі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Ви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прогуляєтесь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вздовж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річки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Адідже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старим центром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помилуєтесь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давньоримським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амфітеатром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Арена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Верона,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третім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величиною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Синьйорії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ратушу і палац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Скалігерів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І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найголовніше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пройдете стежками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шекспірівських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будинок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Ромео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загадаєте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бажання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балкончика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Джульєти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Вільний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час.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/вечеря*.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Рекомендуємо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найчарівніше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поїздку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озеро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Гарда +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живописний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Сірміоне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/20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Гарда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нагадує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море,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оточене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альпійськими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горами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мальовничими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пейзажами.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Познайомимося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курортним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містечком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Сірміоне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півострові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озера Гарда.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прикрашає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Скалігерів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грот Катулла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приватний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давньоримської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епохи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церкву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Санта-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Марія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Маджоре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курортних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будівель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Чисте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хвойні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лимонні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дерева,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квітучі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гліцинії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кипариси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залишать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байдужим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/вечеря*.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Повернення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готель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Ночівля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.</w:t>
      </w:r>
    </w:p>
    <w:p w:rsidR="00F42106" w:rsidRPr="0078629E" w:rsidRDefault="00F43341" w:rsidP="001D0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drawing>
          <wp:inline distT="0" distB="0" distL="0" distR="0">
            <wp:extent cx="1781175" cy="1199444"/>
            <wp:effectExtent l="0" t="0" r="0" b="1270"/>
            <wp:docPr id="20" name="Рисунок 2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41" cy="12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114550" cy="1191197"/>
            <wp:effectExtent l="0" t="0" r="0" b="9525"/>
            <wp:docPr id="21" name="Рисунок 2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26" cy="11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209800" cy="1208024"/>
            <wp:effectExtent l="0" t="0" r="0" b="0"/>
            <wp:docPr id="22" name="Рисунок 2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78" cy="121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78629E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78629E" w:rsidRDefault="0078629E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 xml:space="preserve">Модна столиця Мілан та італійська Швейцарія - </w:t>
      </w:r>
      <w:proofErr w:type="spellStart"/>
      <w:r w:rsidRPr="0078629E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Лугано</w:t>
      </w:r>
      <w:proofErr w:type="spellEnd"/>
    </w:p>
    <w:p w:rsidR="0078629E" w:rsidRPr="0078629E" w:rsidRDefault="0078629E" w:rsidP="007862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Вільний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час у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Вероні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бажаючих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рекомендуємо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«Модна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столиця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proofErr w:type="gram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-</w:t>
      </w:r>
      <w:proofErr w:type="gram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Мілан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(55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40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діловий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промисловий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водночас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законодавцем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європейської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Справжній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рай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любителів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шопінгу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Версаче,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Армані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Прада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модельєри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черпали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</w:t>
      </w:r>
      <w:proofErr w:type="spellEnd"/>
    </w:p>
    <w:p w:rsidR="0078629E" w:rsidRP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натхнення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зберіг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свою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самобутність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є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скарбницею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пам’яток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мистецтва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Дуомський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собор,</w:t>
      </w:r>
    </w:p>
    <w:p w:rsidR="0078629E" w:rsidRP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Ла Скала, галерея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Вітторіо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Емануеле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;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палаци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церкви,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магазини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кав’ярні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кондитерські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Мілан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закохати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себе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погляду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 одного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ковтка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гарячого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шоколаду,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п'ятихвилинної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платанами.</w:t>
      </w:r>
    </w:p>
    <w:p w:rsidR="0078629E" w:rsidRP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Вільний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час у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Мілані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Пропонуємо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Таємниці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Дуомо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квиток)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головний</w:t>
      </w:r>
      <w:proofErr w:type="spellEnd"/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символ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Мілана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Міланський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Собор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один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соборів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Храм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повністю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зроблений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мармуру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практично не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зустрічається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спорудах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скільки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таємниць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приховано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всередині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собору! Тут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зберігається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цвях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розіп'яли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Ісуса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єгипетська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ванна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IV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яка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використовується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якості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купелі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вітражі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вікнах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XV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неймовірно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передають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кольору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Надихнувшись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розкішшю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інтер'єру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помилуватися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панорамами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терас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собору.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Обідо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-вечеря</w:t>
      </w:r>
      <w:proofErr w:type="gram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*.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Повернення</w:t>
      </w:r>
      <w:proofErr w:type="spellEnd"/>
      <w:proofErr w:type="gram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готель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Ночівля</w:t>
      </w:r>
      <w:proofErr w:type="spellEnd"/>
    </w:p>
    <w:p w:rsidR="00E659D2" w:rsidRPr="0078629E" w:rsidRDefault="00F43341" w:rsidP="0092370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352550" cy="1001888"/>
            <wp:effectExtent l="0" t="0" r="0" b="8255"/>
            <wp:docPr id="23" name="Рисунок 2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92" cy="10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04950" cy="1003300"/>
            <wp:effectExtent l="0" t="0" r="0" b="6350"/>
            <wp:docPr id="24" name="Рисунок 2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941" cy="100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57350" cy="994410"/>
            <wp:effectExtent l="0" t="0" r="0" b="0"/>
            <wp:docPr id="25" name="Рисунок 2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52826" cy="987425"/>
            <wp:effectExtent l="0" t="0" r="0" b="3175"/>
            <wp:docPr id="26" name="Рисунок 2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30" cy="9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78629E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9623A3" w:rsidRPr="0078629E" w:rsidRDefault="0078629E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 w:rsidRPr="0078629E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Морське диво – Венеція</w:t>
      </w:r>
    </w:p>
    <w:p w:rsidR="0078629E" w:rsidRPr="0078629E" w:rsidRDefault="0078629E" w:rsidP="007862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Виселення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готелю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О,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Морське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диво -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Венеція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!"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(квитки на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катер 25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обов’язкова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оплата). Ось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мрії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сили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людського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духу! Про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написано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немало, але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кожен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себе новою. Ми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познайомимо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Вас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найцікавішими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місцями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Грандіозною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площею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Сан Марко,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Дожів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Базиліка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кампаніла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Сан Марко,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колони святого Теодора і Марка, Вежа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годинником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символом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мостом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Ріальто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каналів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мостів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прогуляєтеся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вуличками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й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провулками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дізнаєтеся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жила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живе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така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але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завжди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прекрасна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Вільний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час.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Обід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*.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радимо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-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Відвідати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екскурсоводом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Загадковий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Палац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Дожів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(18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квиток)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резиденція</w:t>
      </w:r>
      <w:proofErr w:type="spellEnd"/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правителів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засідання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Великої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Ради, Сенату і Верховного Суду. Тут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приймали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закони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оголошували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і…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звісно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плели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інтриги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Чудова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нагода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пройтися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сходами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побувати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залах, де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керували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морські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правителі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одну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наймасштабніших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картин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"Рай"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Тінторетто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Величність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Гранд Каналу»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(40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У кожному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своя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Гранд Канал,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є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вулицею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традиційному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розумінні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канал,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вздовж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виросло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близько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100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розкішних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палаців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фешенебельних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красивих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церков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музеїв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художніх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академій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концертних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пропливемо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найстарішим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мостом через Гранд Канал – мостом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Ріальто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Вся краса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одній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Романтичну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прогулянку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гондолі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каналами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Витончені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гондоли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</w:t>
      </w:r>
      <w:r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справжній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символ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Веселі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красені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гондольєри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дивовижно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красиві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маски,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неймовірні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мости,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палаци</w:t>
      </w:r>
      <w:proofErr w:type="spellEnd"/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маленькі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створюють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неповторний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колорит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італійської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назву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гондолі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те,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допоможе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вам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зрозуміти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всю красу романтичного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-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відвідати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катером на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острови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“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Кольори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Мурано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+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Бурано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”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(40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Батьківщина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всесвітньо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відомого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венеційського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острів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Мурано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ХІІІ</w:t>
      </w:r>
    </w:p>
    <w:p w:rsidR="0078629E" w:rsidRPr="0078629E" w:rsidRDefault="0078629E" w:rsidP="00786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переселили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склодувів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задля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безпеки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збереження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технік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виготовлення</w:t>
      </w:r>
      <w:proofErr w:type="spellEnd"/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виробів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Відвідаємо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майстерню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власні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очі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народження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печі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вази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фігурки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елементів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люстри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жіночої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прикраси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зможемо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придбати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оригінальні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вироби</w:t>
      </w:r>
      <w:proofErr w:type="spellEnd"/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острова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Мурано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адже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муранське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елітний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подарунок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всьому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острів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Бурано</w:t>
      </w:r>
      <w:proofErr w:type="spellEnd"/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їдуть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заради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фантастичного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мережива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яке сотнями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виготовляють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жінки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їхні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чоловіки</w:t>
      </w:r>
      <w:proofErr w:type="spellEnd"/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рибалять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морі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чотирьох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острівцях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з'єднаних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численними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мостами,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зберігся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дух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середньовіччя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низькі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будиночки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кольорів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веселки,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служили маяком у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тумані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кожного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рибалки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човники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пришвартовані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уздовж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каналів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вузькі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вулички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утворюють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доглянуті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веселі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дворики, кафе з</w:t>
      </w:r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найсмачнішими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стравами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риби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...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острів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Бурано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найпопулярніша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локація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найкращих</w:t>
      </w:r>
      <w:proofErr w:type="spellEnd"/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інстаграмних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фото з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Венеції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Тривалість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екскурсії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орієнтовно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4 год.</w:t>
      </w:r>
    </w:p>
    <w:p w:rsidR="0078629E" w:rsidRDefault="0078629E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Нічний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територію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Угорщини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F43341" w:rsidRDefault="00F43341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2314575" cy="1211294"/>
            <wp:effectExtent l="0" t="0" r="0" b="8255"/>
            <wp:docPr id="27" name="Рисунок 2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23" cy="12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038350" cy="1195832"/>
            <wp:effectExtent l="0" t="0" r="0" b="4445"/>
            <wp:docPr id="28" name="Рисунок 2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71" cy="120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093245" cy="1179195"/>
            <wp:effectExtent l="0" t="0" r="2540" b="1905"/>
            <wp:docPr id="29" name="Рисунок 2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69" cy="11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41" w:rsidRDefault="00F43341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F43341" w:rsidRDefault="00F43341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F43341" w:rsidRPr="0078629E" w:rsidRDefault="00F43341" w:rsidP="007862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78629E" w:rsidRPr="0078629E" w:rsidRDefault="0078629E" w:rsidP="0078629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78629E">
        <w:rPr>
          <w:rFonts w:ascii="Verdana" w:hAnsi="Verdana" w:cstheme="minorHAnsi"/>
          <w:color w:val="FFFFFF"/>
          <w:sz w:val="18"/>
          <w:szCs w:val="18"/>
        </w:rPr>
        <w:lastRenderedPageBreak/>
        <w:t>6</w:t>
      </w:r>
      <w:r w:rsidRPr="0078629E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78629E" w:rsidRPr="0078629E" w:rsidRDefault="0078629E" w:rsidP="0078629E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 w:rsidRPr="0078629E">
        <w:rPr>
          <w:rFonts w:ascii="Verdana" w:hAnsi="Verdana"/>
          <w:b/>
          <w:bCs/>
          <w:color w:val="FFFFFF"/>
          <w:sz w:val="18"/>
          <w:szCs w:val="18"/>
          <w:shd w:val="clear" w:color="auto" w:fill="49B162"/>
        </w:rPr>
        <w:t>Повернення в Україну</w:t>
      </w:r>
    </w:p>
    <w:p w:rsidR="0078629E" w:rsidRPr="0078629E" w:rsidRDefault="0078629E" w:rsidP="00F433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по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території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Угорщини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78629E" w:rsidRPr="0078629E" w:rsidRDefault="0078629E" w:rsidP="00F433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За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бажанням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відвідування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геотермального комплексу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«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Aquarius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Spa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and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Wellness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Centre</w:t>
      </w:r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» в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місті</w:t>
      </w:r>
      <w:proofErr w:type="spellEnd"/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Ньїредьгаза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 </w:t>
      </w: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(25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20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Вас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цілющі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води і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гарячі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джерела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насолода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магією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аквапарку.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Закриті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відкриті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термальні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басейни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штучною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хвилею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водяні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гірки</w:t>
      </w:r>
      <w:proofErr w:type="spellEnd"/>
    </w:p>
    <w:p w:rsidR="0078629E" w:rsidRPr="0078629E" w:rsidRDefault="0078629E" w:rsidP="00F433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«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камікадзе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», «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Чорна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діра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 і «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Шалений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потік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печера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водною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завісою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комплексі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інфрасауна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</w:t>
      </w:r>
      <w:r w:rsidR="00F43341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традиційна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фінська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сауна, парна,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солярій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гарантовано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78629E" w:rsidRPr="0078629E" w:rsidRDefault="0078629E" w:rsidP="00F433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Виїзд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Україну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Перетин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угорсько-українського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кордону.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Приїзд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Мукачево. </w:t>
      </w:r>
      <w:proofErr w:type="spellStart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Обідо-вечеря</w:t>
      </w:r>
      <w:proofErr w:type="spellEnd"/>
      <w:r w:rsidRPr="0078629E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en-US"/>
        </w:rPr>
        <w:t>*.</w:t>
      </w:r>
    </w:p>
    <w:p w:rsidR="0078629E" w:rsidRPr="0078629E" w:rsidRDefault="0078629E" w:rsidP="00F433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</w:pP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Посадка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на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потяг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</w:t>
      </w:r>
      <w:proofErr w:type="spellStart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>після</w:t>
      </w:r>
      <w:proofErr w:type="spellEnd"/>
      <w:r w:rsidRPr="0078629E">
        <w:rPr>
          <w:rFonts w:ascii="Verdana" w:eastAsia="Times New Roman" w:hAnsi="Verdana" w:cs="Times New Roman"/>
          <w:color w:val="212529"/>
          <w:sz w:val="18"/>
          <w:szCs w:val="18"/>
          <w:lang w:val="en-US"/>
        </w:rPr>
        <w:t xml:space="preserve"> 18:00</w:t>
      </w:r>
    </w:p>
    <w:p w:rsidR="001D005D" w:rsidRPr="0078629E" w:rsidRDefault="001D005D" w:rsidP="001D005D">
      <w:pPr>
        <w:rPr>
          <w:rFonts w:ascii="Verdana" w:hAnsi="Verdana"/>
          <w:sz w:val="18"/>
          <w:szCs w:val="18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r w:rsidR="004B5EA6">
        <w:fldChar w:fldCharType="begin"/>
      </w:r>
      <w:r w:rsidR="004B5EA6">
        <w:instrText xml:space="preserve"> HYPERLINK "https://sakums.com.ua/uk/tours/517-mrii-zdijsnyuyutsya-mi-v-parizhi-ekonom-shkilni-kanikuli" </w:instrText>
      </w:r>
      <w:r w:rsidR="004B5EA6">
        <w:fldChar w:fldCharType="separate"/>
      </w:r>
      <w:r w:rsidR="004B5EA6">
        <w:fldChar w:fldCharType="end"/>
      </w:r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F43341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375</w:t>
            </w:r>
            <w:r w:rsidR="001D005D"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F43341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385</w:t>
            </w:r>
            <w:r w:rsidR="001D005D"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F43341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350</w:t>
            </w:r>
            <w:r w:rsidR="001D005D"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000436" w:rsidRDefault="00000436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uk-UA"/>
        </w:rPr>
      </w:pPr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  <w:br/>
      </w:r>
    </w:p>
    <w:p w:rsidR="00000436" w:rsidRPr="00897C66" w:rsidRDefault="00000436" w:rsidP="00000436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F43341" w:rsidRPr="00F43341" w:rsidRDefault="00F43341" w:rsidP="00F4334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Проїзд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 маршрутом автобусом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єврокласу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F43341" w:rsidRPr="00F43341" w:rsidRDefault="00F43341" w:rsidP="00F4334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Проживання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4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ночі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(3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ночі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Вероні+1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транзитна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) в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готелях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рівня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3* </w:t>
      </w:r>
      <w:proofErr w:type="gram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 номерах</w:t>
      </w:r>
      <w:proofErr w:type="gram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усіма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зручностями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F43341" w:rsidRPr="00F43341" w:rsidRDefault="00F43341" w:rsidP="00F4334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Харчування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–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сніданки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F43341" w:rsidRPr="00F43341" w:rsidRDefault="00F43341" w:rsidP="00F4334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Медичне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страхування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для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7-59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F43341" w:rsidRPr="00F43341" w:rsidRDefault="00F43341" w:rsidP="00F4334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Супровід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керівником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групи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по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всьому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маршруту;</w:t>
      </w:r>
    </w:p>
    <w:p w:rsidR="00F43341" w:rsidRPr="00F43341" w:rsidRDefault="00F43341" w:rsidP="00F4334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Оглядові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екскурсії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Верона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Венеція</w:t>
      </w:r>
      <w:proofErr w:type="spellEnd"/>
    </w:p>
    <w:p w:rsidR="00000436" w:rsidRPr="00F43341" w:rsidRDefault="00000436" w:rsidP="00000436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F43341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Курортний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збір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сплачується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туру) – 15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Медичне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страхування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для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0-6 та 60-80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(*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уточнюйте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менеджера);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Факультативні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екскурсії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Додаткове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харчування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обідо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-вечеря 25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/</w:t>
      </w:r>
      <w:proofErr w:type="gram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день )</w:t>
      </w:r>
      <w:proofErr w:type="gram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Оплата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початку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туру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Навушники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час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(2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/1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Вхідні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квитки в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екскурсійні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об’єкти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(церкви,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собори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музеї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тощо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Туристам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із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Києва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Туроператор «САКУМС»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надати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послуги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щодо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залізничних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Київ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-Мукачево-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Київ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-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від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2300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грн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(купе). Квитки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можна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купити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самостійно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обов'язково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завчасно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уточніть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менеджера номер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Увага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!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Вартість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бути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змінена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Туроператором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після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внаслідок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підняття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тарифів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чи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підтвердження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УЗ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дорожчого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.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Проїзд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громадським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транспортом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F43341" w:rsidRPr="00F43341" w:rsidRDefault="00F43341" w:rsidP="00F433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Особисті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витрати</w:t>
      </w:r>
      <w:proofErr w:type="spellEnd"/>
      <w:r w:rsidRPr="00F43341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.</w:t>
      </w:r>
    </w:p>
    <w:p w:rsidR="00045187" w:rsidRPr="00000436" w:rsidRDefault="00045187" w:rsidP="00F4334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</w:p>
    <w:sectPr w:rsidR="00045187" w:rsidRPr="00000436" w:rsidSect="00E54042">
      <w:headerReference w:type="default" r:id="rId2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A6" w:rsidRDefault="004B5EA6" w:rsidP="00E54042">
      <w:pPr>
        <w:spacing w:after="0" w:line="240" w:lineRule="auto"/>
      </w:pPr>
      <w:r>
        <w:separator/>
      </w:r>
    </w:p>
  </w:endnote>
  <w:endnote w:type="continuationSeparator" w:id="0">
    <w:p w:rsidR="004B5EA6" w:rsidRDefault="004B5EA6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A6" w:rsidRDefault="004B5EA6" w:rsidP="00E54042">
      <w:pPr>
        <w:spacing w:after="0" w:line="240" w:lineRule="auto"/>
      </w:pPr>
      <w:r>
        <w:separator/>
      </w:r>
    </w:p>
  </w:footnote>
  <w:footnote w:type="continuationSeparator" w:id="0">
    <w:p w:rsidR="004B5EA6" w:rsidRDefault="004B5EA6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9E" w:rsidRPr="0078629E" w:rsidRDefault="0078629E" w:rsidP="0078629E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 w:rsidRPr="0078629E">
      <w:rPr>
        <w:rFonts w:ascii="Verdana" w:eastAsiaTheme="minorHAnsi" w:hAnsi="Verdana" w:cstheme="minorBidi"/>
        <w:b/>
        <w:szCs w:val="24"/>
        <w:lang w:val="uk-UA" w:eastAsia="en-US"/>
      </w:rPr>
      <w:t>ІТАЛІЙСЬКА РОМАНТИКА ГРАНД (шкільні канікули)</w:t>
    </w:r>
  </w:p>
  <w:p w:rsidR="00E54042" w:rsidRPr="0078629E" w:rsidRDefault="00E54042" w:rsidP="0078629E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 w:rsidRPr="0078629E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4B5EA6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4B5EA6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20F04"/>
    <w:multiLevelType w:val="multilevel"/>
    <w:tmpl w:val="67C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C51AB"/>
    <w:multiLevelType w:val="multilevel"/>
    <w:tmpl w:val="A9A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32E6F"/>
    <w:multiLevelType w:val="multilevel"/>
    <w:tmpl w:val="192E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446AB"/>
    <w:multiLevelType w:val="multilevel"/>
    <w:tmpl w:val="AB46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6"/>
  </w:num>
  <w:num w:numId="5">
    <w:abstractNumId w:val="17"/>
  </w:num>
  <w:num w:numId="6">
    <w:abstractNumId w:val="11"/>
  </w:num>
  <w:num w:numId="7">
    <w:abstractNumId w:val="16"/>
  </w:num>
  <w:num w:numId="8">
    <w:abstractNumId w:val="19"/>
  </w:num>
  <w:num w:numId="9">
    <w:abstractNumId w:val="4"/>
  </w:num>
  <w:num w:numId="10">
    <w:abstractNumId w:val="20"/>
  </w:num>
  <w:num w:numId="11">
    <w:abstractNumId w:val="21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4"/>
  </w:num>
  <w:num w:numId="17">
    <w:abstractNumId w:val="10"/>
  </w:num>
  <w:num w:numId="18">
    <w:abstractNumId w:val="18"/>
  </w:num>
  <w:num w:numId="19">
    <w:abstractNumId w:val="12"/>
  </w:num>
  <w:num w:numId="20">
    <w:abstractNumId w:val="8"/>
  </w:num>
  <w:num w:numId="21">
    <w:abstractNumId w:val="5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00436"/>
    <w:rsid w:val="00045187"/>
    <w:rsid w:val="0007333B"/>
    <w:rsid w:val="00082494"/>
    <w:rsid w:val="000A50DA"/>
    <w:rsid w:val="000D5076"/>
    <w:rsid w:val="0016635C"/>
    <w:rsid w:val="001D005D"/>
    <w:rsid w:val="001D671B"/>
    <w:rsid w:val="002E6227"/>
    <w:rsid w:val="003C6CD6"/>
    <w:rsid w:val="004062BF"/>
    <w:rsid w:val="00411CE7"/>
    <w:rsid w:val="0045288B"/>
    <w:rsid w:val="004B5EA6"/>
    <w:rsid w:val="0055635A"/>
    <w:rsid w:val="00665B7E"/>
    <w:rsid w:val="006A32AC"/>
    <w:rsid w:val="0078629E"/>
    <w:rsid w:val="00833A4C"/>
    <w:rsid w:val="00897C66"/>
    <w:rsid w:val="008A1A4D"/>
    <w:rsid w:val="008E211C"/>
    <w:rsid w:val="00923702"/>
    <w:rsid w:val="00940EB3"/>
    <w:rsid w:val="009623A3"/>
    <w:rsid w:val="00974747"/>
    <w:rsid w:val="009E3F55"/>
    <w:rsid w:val="009F46AC"/>
    <w:rsid w:val="00A3544A"/>
    <w:rsid w:val="00A91D50"/>
    <w:rsid w:val="00B714D9"/>
    <w:rsid w:val="00C754E8"/>
    <w:rsid w:val="00D23DE0"/>
    <w:rsid w:val="00D264B8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F14083"/>
    <w:rsid w:val="00F30651"/>
    <w:rsid w:val="00F42106"/>
    <w:rsid w:val="00F43341"/>
    <w:rsid w:val="00F74992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750D6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8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2025-08-25T13:19:00Z</dcterms:created>
  <dcterms:modified xsi:type="dcterms:W3CDTF">2025-08-25T13:19:00Z</dcterms:modified>
</cp:coreProperties>
</file>