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CB74C2" w:rsidRDefault="005260BD" w:rsidP="00082494">
      <w:pPr>
        <w:jc w:val="center"/>
        <w:rPr>
          <w:rFonts w:ascii="Verdana" w:hAnsi="Verdana"/>
          <w:b/>
          <w:sz w:val="24"/>
          <w:szCs w:val="24"/>
        </w:rPr>
      </w:pPr>
      <w:r w:rsidRPr="00CB74C2">
        <w:rPr>
          <w:rFonts w:ascii="Verdana" w:hAnsi="Verdana"/>
          <w:b/>
          <w:sz w:val="24"/>
          <w:szCs w:val="24"/>
        </w:rPr>
        <w:t>КАМ'ЯНЕЦЬ-ПОДІЛЬСЬКИЙ, ХОТИН ТА ЧЕРНІВЦІ</w:t>
      </w:r>
    </w:p>
    <w:p w:rsidR="00D264B8" w:rsidRPr="00CB74C2" w:rsidRDefault="00A04F0F" w:rsidP="00082494">
      <w:pPr>
        <w:shd w:val="clear" w:color="auto" w:fill="5BC475"/>
        <w:spacing w:after="0" w:line="240" w:lineRule="auto"/>
        <w:jc w:val="center"/>
        <w:rPr>
          <w:rFonts w:ascii="Verdana" w:eastAsia="Times New Roman" w:hAnsi="Verdana" w:cstheme="minorHAnsi"/>
          <w:bCs/>
          <w:color w:val="FFFFFF"/>
          <w:sz w:val="24"/>
          <w:szCs w:val="24"/>
          <w:lang w:eastAsia="uk-UA"/>
        </w:rPr>
      </w:pPr>
      <w:r w:rsidRPr="00CB74C2">
        <w:rPr>
          <w:rFonts w:ascii="Verdana" w:eastAsia="Times New Roman" w:hAnsi="Verdana" w:cstheme="minorHAnsi"/>
          <w:bCs/>
          <w:color w:val="FFFFFF"/>
          <w:sz w:val="24"/>
          <w:szCs w:val="24"/>
          <w:lang w:eastAsia="uk-UA"/>
        </w:rPr>
        <w:t>Під запит</w:t>
      </w:r>
    </w:p>
    <w:p w:rsidR="00833A4C" w:rsidRPr="00CB74C2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CB74C2">
        <w:rPr>
          <w:rFonts w:ascii="Verdana" w:hAnsi="Verdana" w:cstheme="minorHAnsi"/>
          <w:color w:val="FFFFFF"/>
          <w:sz w:val="20"/>
          <w:szCs w:val="20"/>
        </w:rPr>
        <w:t>1 день</w:t>
      </w:r>
    </w:p>
    <w:p w:rsidR="00833A4C" w:rsidRPr="00CB74C2" w:rsidRDefault="005260BD" w:rsidP="00833A4C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CB74C2">
        <w:rPr>
          <w:rFonts w:ascii="Verdana" w:hAnsi="Verdana" w:cstheme="minorHAnsi"/>
          <w:color w:val="FFFFFF"/>
          <w:sz w:val="20"/>
          <w:szCs w:val="20"/>
        </w:rPr>
        <w:t xml:space="preserve">Кам’янець-Подільський – місто на </w:t>
      </w:r>
      <w:proofErr w:type="spellStart"/>
      <w:r w:rsidRPr="00CB74C2">
        <w:rPr>
          <w:rFonts w:ascii="Verdana" w:hAnsi="Verdana" w:cstheme="minorHAnsi"/>
          <w:color w:val="FFFFFF"/>
          <w:sz w:val="20"/>
          <w:szCs w:val="20"/>
        </w:rPr>
        <w:t>камені</w:t>
      </w:r>
      <w:proofErr w:type="spellEnd"/>
    </w:p>
    <w:p w:rsidR="005260BD" w:rsidRPr="00CB74C2" w:rsidRDefault="005260BD" w:rsidP="005260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Приїзд в Кам'янець-Подільський.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Зустріч групи на вокзалі.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Оглядова екскурсія по місту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: </w:t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Оглядовий майданчик, </w:t>
      </w:r>
      <w:proofErr w:type="spellStart"/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Карвасари</w:t>
      </w:r>
      <w:proofErr w:type="spellEnd"/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, </w:t>
      </w:r>
      <w:proofErr w:type="spellStart"/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Хрестовоздвиженська</w:t>
      </w:r>
      <w:proofErr w:type="spellEnd"/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 церква, Підвісний місток, Сонячний годинник, </w:t>
      </w:r>
      <w:proofErr w:type="spellStart"/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укріплювальні</w:t>
      </w:r>
      <w:proofErr w:type="spellEnd"/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 вали і стіни Кам'янець-Подільської фортеці.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Обід.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Екскурсія по </w:t>
      </w:r>
      <w:proofErr w:type="spellStart"/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Кам'янецькій</w:t>
      </w:r>
      <w:proofErr w:type="spellEnd"/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 фортеці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 – споруджена в ХIV столітті на високому скельному березі р. Смотрич. Перший опис </w:t>
      </w:r>
      <w:proofErr w:type="spellStart"/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Кам'янецького</w:t>
      </w:r>
      <w:proofErr w:type="spellEnd"/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замку відноситься до 1494 р. З боку міста він мав ворота з вежею, у північній стіні були влаштовані </w:t>
      </w:r>
      <w:proofErr w:type="spellStart"/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Пільні</w:t>
      </w:r>
      <w:proofErr w:type="spellEnd"/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ворота. У 1621 році під керівництвом королівського інженера Теофіла </w:t>
      </w:r>
      <w:proofErr w:type="spellStart"/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Шомберга</w:t>
      </w:r>
      <w:proofErr w:type="spellEnd"/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за голландським зразком був побудований Новий замок. Він складався з двох земляних </w:t>
      </w:r>
      <w:proofErr w:type="spellStart"/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напівбастіонів</w:t>
      </w:r>
      <w:proofErr w:type="spellEnd"/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(в них перебували каземати) і куртини, перед якими було влаштовано сухий рів. До сих пір </w:t>
      </w:r>
      <w:proofErr w:type="spellStart"/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збереглася</w:t>
      </w:r>
      <w:proofErr w:type="spellEnd"/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система </w:t>
      </w:r>
      <w:proofErr w:type="spellStart"/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підземель</w:t>
      </w:r>
      <w:proofErr w:type="spellEnd"/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, а також більшість кам'яних стін.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Екскурсія по старому місту: монастир домініканців ХV-XVIII ст., Міська ратуша ХV-XVIII ст., екскурсія в камеру тортур, будівля окружного суду 1856 р., кафедральний костел </w:t>
      </w:r>
      <w:proofErr w:type="spellStart"/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Св</w:t>
      </w:r>
      <w:proofErr w:type="spellEnd"/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. Апостолів Петра і Павла, комплекс монастиря францисканців, </w:t>
      </w:r>
      <w:proofErr w:type="spellStart"/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Тринітарський</w:t>
      </w:r>
      <w:proofErr w:type="spellEnd"/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 xml:space="preserve"> костел (церква </w:t>
      </w:r>
      <w:proofErr w:type="spellStart"/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Св</w:t>
      </w:r>
      <w:proofErr w:type="spellEnd"/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. Йосафата) 18 ст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., відбудована будівля католицької семінарії 1670 р.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Вільний час. Купівля сувенірів.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Вечеря.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Поселення в готелі.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Вільний час. Ночівля</w:t>
      </w:r>
    </w:p>
    <w:p w:rsidR="00A04F0F" w:rsidRPr="00CB74C2" w:rsidRDefault="005260BD" w:rsidP="00A04F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theme="minorHAnsi"/>
          <w:color w:val="212529"/>
          <w:sz w:val="20"/>
          <w:szCs w:val="20"/>
          <w:lang w:eastAsia="uk-UA"/>
        </w:rPr>
      </w:pPr>
      <w:r w:rsidRPr="00CB74C2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634820" cy="1080000"/>
            <wp:effectExtent l="0" t="0" r="381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S16WqQuugg6vULy1qwmR5nFuOqi59UOuS6aqdIo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82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74C2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621112" cy="10800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XdRm9DDpV5PWEJ2LnDzVkgN0etQOTsHPk4iiAVf8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11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74C2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3206378" cy="10800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QTOwRTKalDyV6VABYZWtx1x2TNMCqGMndpGCZ2d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37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A47" w:rsidRPr="00CB74C2" w:rsidRDefault="00435A47" w:rsidP="00435A47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20"/>
          <w:szCs w:val="20"/>
        </w:rPr>
      </w:pPr>
      <w:r w:rsidRPr="00CB74C2">
        <w:rPr>
          <w:rFonts w:ascii="Verdana" w:hAnsi="Verdana" w:cstheme="minorHAnsi"/>
          <w:color w:val="FFFFFF"/>
          <w:sz w:val="20"/>
          <w:szCs w:val="20"/>
        </w:rPr>
        <w:t>2 день</w:t>
      </w:r>
    </w:p>
    <w:p w:rsidR="00435A47" w:rsidRPr="00CB74C2" w:rsidRDefault="00435A47" w:rsidP="00435A47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20"/>
          <w:szCs w:val="20"/>
          <w:lang w:val="ru-RU"/>
        </w:rPr>
      </w:pPr>
      <w:proofErr w:type="spellStart"/>
      <w:r w:rsidRPr="00CB74C2">
        <w:rPr>
          <w:rFonts w:ascii="Verdana" w:hAnsi="Verdana" w:cstheme="minorHAnsi"/>
          <w:color w:val="FFFFFF"/>
          <w:sz w:val="20"/>
          <w:szCs w:val="20"/>
          <w:lang w:val="ru-RU"/>
        </w:rPr>
        <w:t>Хотинська</w:t>
      </w:r>
      <w:proofErr w:type="spellEnd"/>
      <w:r w:rsidRPr="00CB74C2">
        <w:rPr>
          <w:rFonts w:ascii="Verdana" w:hAnsi="Verdana" w:cstheme="minorHAnsi"/>
          <w:color w:val="FFFFFF"/>
          <w:sz w:val="20"/>
          <w:szCs w:val="20"/>
          <w:lang w:val="ru-RU"/>
        </w:rPr>
        <w:t xml:space="preserve"> </w:t>
      </w:r>
      <w:proofErr w:type="spellStart"/>
      <w:r w:rsidRPr="00CB74C2">
        <w:rPr>
          <w:rFonts w:ascii="Verdana" w:hAnsi="Verdana" w:cstheme="minorHAnsi"/>
          <w:color w:val="FFFFFF"/>
          <w:sz w:val="20"/>
          <w:szCs w:val="20"/>
          <w:lang w:val="ru-RU"/>
        </w:rPr>
        <w:t>фортеця</w:t>
      </w:r>
      <w:proofErr w:type="spellEnd"/>
      <w:r w:rsidRPr="00CB74C2">
        <w:rPr>
          <w:rFonts w:ascii="Verdana" w:hAnsi="Verdana" w:cstheme="minorHAnsi"/>
          <w:color w:val="FFFFFF"/>
          <w:sz w:val="20"/>
          <w:szCs w:val="20"/>
          <w:lang w:val="ru-RU"/>
        </w:rPr>
        <w:t xml:space="preserve"> та Париж в </w:t>
      </w:r>
      <w:proofErr w:type="spellStart"/>
      <w:r w:rsidRPr="00CB74C2">
        <w:rPr>
          <w:rFonts w:ascii="Verdana" w:hAnsi="Verdana" w:cstheme="minorHAnsi"/>
          <w:color w:val="FFFFFF"/>
          <w:sz w:val="20"/>
          <w:szCs w:val="20"/>
          <w:lang w:val="ru-RU"/>
        </w:rPr>
        <w:t>мініатюрі</w:t>
      </w:r>
      <w:proofErr w:type="spellEnd"/>
    </w:p>
    <w:p w:rsidR="00435A47" w:rsidRPr="00CB74C2" w:rsidRDefault="00435A47" w:rsidP="00435A47">
      <w:pPr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Сніданок. Звільнення номерів.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Переїзд в Хотин.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Екскурсія по Хотинській фортеці-казці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 – образ твердині сформований під впливом таких фільмів як «Захар Беркут», «Балада про доблесного лицаря </w:t>
      </w:r>
      <w:proofErr w:type="spellStart"/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Айвенго</w:t>
      </w:r>
      <w:proofErr w:type="spellEnd"/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», «Три мушкетери», «Стріли Робін </w:t>
      </w:r>
      <w:proofErr w:type="spellStart"/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Гуда</w:t>
      </w:r>
      <w:proofErr w:type="spellEnd"/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», «Чорна стріла» запам'ятався напевно кожному. Так ось, це була Вона - Хотинська фортеця.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Переїзд в місто Чернівці.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Обід.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Оглядова екскурсія по Чернівцях. 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Це місто – особливе! Місто Чернівці – «Париж в мініатюрі». У всі віки місто відрізнялося «мирним співіснуванням» великої кількості релігійних напрямків і конфесій. Звідси велика кількість культових споруд, серед яких ви знайдете і вірменську церкву (нині органний зал), і єврейську синагогу, і римо-католицький костел, і православний храм.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Відвідування Чернівецького Національного Університету!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Трансфер на залізничний вокзал.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Виїзд до Києва.</w:t>
      </w:r>
    </w:p>
    <w:p w:rsidR="00435A47" w:rsidRPr="00CB74C2" w:rsidRDefault="00435A47" w:rsidP="00435A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theme="minorHAnsi"/>
          <w:color w:val="212529"/>
          <w:sz w:val="20"/>
          <w:szCs w:val="20"/>
          <w:lang w:val="ru-RU" w:eastAsia="uk-UA"/>
        </w:rPr>
      </w:pPr>
      <w:r w:rsidRPr="00CB74C2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440000" cy="1080000"/>
            <wp:effectExtent l="0" t="0" r="825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5v0WY4PhUBnBp63N7nruAWpsTyg2gEoUKCbHgWi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74C2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764946" cy="1080000"/>
            <wp:effectExtent l="0" t="0" r="698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xcOE9cUXNOR7i95xHDtCHhMSCZS81x6OFyEDXk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94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74C2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619445" cy="108000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otMlcFFSn1wzeXuaDuldOXpjAF4MKmTNRiVs7Rn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4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0B27" w:rsidRPr="00CB74C2">
        <w:rPr>
          <w:rFonts w:ascii="Verdana" w:eastAsia="Times New Roman" w:hAnsi="Verdana" w:cstheme="minorHAnsi"/>
          <w:noProof/>
          <w:color w:val="212529"/>
          <w:sz w:val="20"/>
          <w:szCs w:val="20"/>
          <w:lang w:val="ru-RU" w:eastAsia="ru-RU"/>
        </w:rPr>
        <w:drawing>
          <wp:inline distT="0" distB="0" distL="0" distR="0">
            <wp:extent cx="1619445" cy="108000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zOkLy8XqJPB9cIle3mGr1H4vjq3W6b1fyJzK125k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4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9E1" w:rsidRPr="00CB74C2" w:rsidRDefault="005909E1" w:rsidP="005909E1">
      <w:pPr>
        <w:pStyle w:val="6"/>
        <w:shd w:val="clear" w:color="auto" w:fill="48509D"/>
        <w:jc w:val="center"/>
        <w:rPr>
          <w:rFonts w:ascii="Verdana" w:hAnsi="Verdana" w:cs="Segoe UI"/>
          <w:b/>
          <w:color w:val="FFFFFF"/>
          <w:sz w:val="24"/>
          <w:szCs w:val="18"/>
        </w:rPr>
      </w:pPr>
      <w:r w:rsidRPr="00CB74C2">
        <w:rPr>
          <w:rFonts w:ascii="Verdana" w:hAnsi="Verdana" w:cs="Segoe UI"/>
          <w:b/>
          <w:color w:val="FFFFFF"/>
          <w:sz w:val="24"/>
          <w:szCs w:val="18"/>
        </w:rPr>
        <w:lastRenderedPageBreak/>
        <w:t>Вартість туру</w:t>
      </w:r>
    </w:p>
    <w:p w:rsidR="00D842E8" w:rsidRDefault="00D842E8" w:rsidP="002A22F5">
      <w:pPr>
        <w:shd w:val="clear" w:color="auto" w:fill="FFFFFF"/>
        <w:spacing w:after="0" w:line="240" w:lineRule="auto"/>
        <w:rPr>
          <w:rFonts w:ascii="Verdana" w:hAnsi="Verdana" w:cstheme="minorHAnsi"/>
          <w:sz w:val="20"/>
          <w:szCs w:val="20"/>
        </w:rPr>
      </w:pPr>
    </w:p>
    <w:tbl>
      <w:tblPr>
        <w:tblStyle w:val="aa"/>
        <w:tblpPr w:leftFromText="180" w:rightFromText="180" w:vertAnchor="text" w:horzAnchor="margin" w:tblpXSpec="center" w:tblpY="333"/>
        <w:tblW w:w="9241" w:type="dxa"/>
        <w:tblLook w:val="04A0" w:firstRow="1" w:lastRow="0" w:firstColumn="1" w:lastColumn="0" w:noHBand="0" w:noVBand="1"/>
      </w:tblPr>
      <w:tblGrid>
        <w:gridCol w:w="3078"/>
        <w:gridCol w:w="1554"/>
        <w:gridCol w:w="1553"/>
        <w:gridCol w:w="1553"/>
        <w:gridCol w:w="1503"/>
      </w:tblGrid>
      <w:tr w:rsidR="00D842E8" w:rsidRPr="00D842E8" w:rsidTr="00D842E8">
        <w:tc>
          <w:tcPr>
            <w:tcW w:w="3078" w:type="dxa"/>
          </w:tcPr>
          <w:p w:rsidR="00D842E8" w:rsidRPr="00D842E8" w:rsidRDefault="00D842E8" w:rsidP="009F3CC8">
            <w:pPr>
              <w:jc w:val="center"/>
              <w:rPr>
                <w:sz w:val="28"/>
                <w:lang w:val="uk-UA"/>
              </w:rPr>
            </w:pPr>
            <w:r w:rsidRPr="00D842E8">
              <w:rPr>
                <w:sz w:val="28"/>
                <w:lang w:val="uk-UA"/>
              </w:rPr>
              <w:t>Проживання/групи</w:t>
            </w:r>
          </w:p>
        </w:tc>
        <w:tc>
          <w:tcPr>
            <w:tcW w:w="1554" w:type="dxa"/>
          </w:tcPr>
          <w:p w:rsidR="00D842E8" w:rsidRPr="00D842E8" w:rsidRDefault="00D842E8" w:rsidP="009F3CC8">
            <w:pPr>
              <w:jc w:val="center"/>
              <w:rPr>
                <w:sz w:val="28"/>
                <w:lang w:val="uk-UA"/>
              </w:rPr>
            </w:pPr>
            <w:r w:rsidRPr="00D842E8">
              <w:rPr>
                <w:sz w:val="28"/>
                <w:lang w:val="uk-UA"/>
              </w:rPr>
              <w:t>10+1</w:t>
            </w:r>
          </w:p>
        </w:tc>
        <w:tc>
          <w:tcPr>
            <w:tcW w:w="1553" w:type="dxa"/>
          </w:tcPr>
          <w:p w:rsidR="00D842E8" w:rsidRPr="00D842E8" w:rsidRDefault="00D842E8" w:rsidP="009F3CC8">
            <w:pPr>
              <w:jc w:val="center"/>
              <w:rPr>
                <w:sz w:val="28"/>
                <w:lang w:val="uk-UA"/>
              </w:rPr>
            </w:pPr>
            <w:r w:rsidRPr="00D842E8">
              <w:rPr>
                <w:sz w:val="28"/>
                <w:lang w:val="uk-UA"/>
              </w:rPr>
              <w:t>15+2</w:t>
            </w:r>
          </w:p>
        </w:tc>
        <w:tc>
          <w:tcPr>
            <w:tcW w:w="1553" w:type="dxa"/>
          </w:tcPr>
          <w:p w:rsidR="00D842E8" w:rsidRPr="00D842E8" w:rsidRDefault="00D842E8" w:rsidP="009F3CC8">
            <w:pPr>
              <w:jc w:val="center"/>
              <w:rPr>
                <w:sz w:val="28"/>
                <w:lang w:val="uk-UA"/>
              </w:rPr>
            </w:pPr>
            <w:r w:rsidRPr="00D842E8">
              <w:rPr>
                <w:sz w:val="28"/>
                <w:lang w:val="uk-UA"/>
              </w:rPr>
              <w:t>30+3</w:t>
            </w:r>
          </w:p>
        </w:tc>
        <w:tc>
          <w:tcPr>
            <w:tcW w:w="1503" w:type="dxa"/>
          </w:tcPr>
          <w:p w:rsidR="00D842E8" w:rsidRPr="00D842E8" w:rsidRDefault="00D842E8" w:rsidP="009F3CC8">
            <w:pPr>
              <w:jc w:val="center"/>
              <w:rPr>
                <w:sz w:val="28"/>
                <w:lang w:val="uk-UA"/>
              </w:rPr>
            </w:pPr>
            <w:r w:rsidRPr="00D842E8">
              <w:rPr>
                <w:sz w:val="28"/>
                <w:lang w:val="uk-UA"/>
              </w:rPr>
              <w:t>40+4</w:t>
            </w:r>
          </w:p>
        </w:tc>
      </w:tr>
      <w:tr w:rsidR="00D842E8" w:rsidRPr="00D842E8" w:rsidTr="00D842E8">
        <w:tc>
          <w:tcPr>
            <w:tcW w:w="3078" w:type="dxa"/>
          </w:tcPr>
          <w:p w:rsidR="00D842E8" w:rsidRPr="00D842E8" w:rsidRDefault="00D842E8" w:rsidP="009F3CC8">
            <w:pPr>
              <w:jc w:val="center"/>
              <w:rPr>
                <w:sz w:val="28"/>
                <w:lang w:val="uk-UA"/>
              </w:rPr>
            </w:pPr>
            <w:r w:rsidRPr="00D842E8">
              <w:rPr>
                <w:sz w:val="28"/>
                <w:lang w:val="uk-UA"/>
              </w:rPr>
              <w:t>Вартість</w:t>
            </w:r>
          </w:p>
        </w:tc>
        <w:tc>
          <w:tcPr>
            <w:tcW w:w="1554" w:type="dxa"/>
          </w:tcPr>
          <w:p w:rsidR="00D842E8" w:rsidRPr="00D842E8" w:rsidRDefault="00D842E8" w:rsidP="009F3CC8">
            <w:pPr>
              <w:jc w:val="center"/>
              <w:rPr>
                <w:sz w:val="28"/>
                <w:lang w:val="uk-UA"/>
              </w:rPr>
            </w:pPr>
            <w:r w:rsidRPr="00D842E8">
              <w:rPr>
                <w:sz w:val="28"/>
                <w:lang w:val="uk-UA"/>
              </w:rPr>
              <w:t>4600 грн</w:t>
            </w:r>
          </w:p>
        </w:tc>
        <w:tc>
          <w:tcPr>
            <w:tcW w:w="1553" w:type="dxa"/>
          </w:tcPr>
          <w:p w:rsidR="00D842E8" w:rsidRPr="00D842E8" w:rsidRDefault="00D842E8" w:rsidP="009F3CC8">
            <w:pPr>
              <w:jc w:val="center"/>
              <w:rPr>
                <w:sz w:val="28"/>
                <w:lang w:val="uk-UA"/>
              </w:rPr>
            </w:pPr>
            <w:r w:rsidRPr="00D842E8">
              <w:rPr>
                <w:sz w:val="28"/>
                <w:lang w:val="uk-UA"/>
              </w:rPr>
              <w:t>4150 грн</w:t>
            </w:r>
          </w:p>
        </w:tc>
        <w:tc>
          <w:tcPr>
            <w:tcW w:w="1553" w:type="dxa"/>
          </w:tcPr>
          <w:p w:rsidR="00D842E8" w:rsidRPr="00D842E8" w:rsidRDefault="00D842E8" w:rsidP="009F3CC8">
            <w:pPr>
              <w:jc w:val="center"/>
              <w:rPr>
                <w:sz w:val="28"/>
                <w:lang w:val="uk-UA"/>
              </w:rPr>
            </w:pPr>
            <w:r w:rsidRPr="00D842E8">
              <w:rPr>
                <w:sz w:val="28"/>
                <w:lang w:val="uk-UA"/>
              </w:rPr>
              <w:t>4000 грн</w:t>
            </w:r>
          </w:p>
        </w:tc>
        <w:tc>
          <w:tcPr>
            <w:tcW w:w="1503" w:type="dxa"/>
          </w:tcPr>
          <w:p w:rsidR="00D842E8" w:rsidRPr="00D842E8" w:rsidRDefault="00D842E8" w:rsidP="009F3CC8">
            <w:pPr>
              <w:jc w:val="center"/>
              <w:rPr>
                <w:sz w:val="28"/>
                <w:lang w:val="uk-UA"/>
              </w:rPr>
            </w:pPr>
            <w:r w:rsidRPr="00D842E8">
              <w:rPr>
                <w:sz w:val="28"/>
                <w:lang w:val="uk-UA"/>
              </w:rPr>
              <w:t>3700 грн</w:t>
            </w:r>
          </w:p>
        </w:tc>
      </w:tr>
    </w:tbl>
    <w:p w:rsidR="002A22F5" w:rsidRPr="00CB74C2" w:rsidRDefault="002A22F5" w:rsidP="002A22F5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B74C2">
        <w:rPr>
          <w:rFonts w:ascii="Verdana" w:hAnsi="Verdana" w:cstheme="minorHAnsi"/>
          <w:sz w:val="20"/>
          <w:szCs w:val="20"/>
        </w:rPr>
        <w:br/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t>Вартість вхідних квитків (уточнювати до початку туру):</w:t>
      </w:r>
      <w:r w:rsidRPr="00CB74C2">
        <w:rPr>
          <w:rFonts w:ascii="Verdana" w:eastAsia="Times New Roman" w:hAnsi="Verdana" w:cstheme="minorHAnsi"/>
          <w:b/>
          <w:bCs/>
          <w:color w:val="212529"/>
          <w:sz w:val="18"/>
          <w:szCs w:val="20"/>
          <w:lang w:eastAsia="uk-UA"/>
        </w:rPr>
        <w:br/>
      </w:r>
    </w:p>
    <w:p w:rsidR="002A22F5" w:rsidRPr="00CB74C2" w:rsidRDefault="002A22F5" w:rsidP="002A22F5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• Чернівецький університет (загальний, пенсійний –</w:t>
      </w:r>
      <w:r w:rsidR="00D842E8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100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грн/особа; студенти, учні – 30 грн/особа);</w:t>
      </w:r>
    </w:p>
    <w:p w:rsidR="002A22F5" w:rsidRPr="00CB74C2" w:rsidRDefault="002A22F5" w:rsidP="002A22F5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• Хотинська фортеця (загальний, пенсійний – 1</w:t>
      </w:r>
      <w:r w:rsidR="00D842E8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4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0 грн, студенти і учні –</w:t>
      </w:r>
      <w:r w:rsidR="00D842E8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7</w:t>
      </w:r>
      <w:bookmarkStart w:id="0" w:name="_GoBack"/>
      <w:bookmarkEnd w:id="0"/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0 грн);</w:t>
      </w:r>
    </w:p>
    <w:p w:rsidR="002A22F5" w:rsidRPr="00CB74C2" w:rsidRDefault="002A22F5" w:rsidP="002A22F5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• </w:t>
      </w:r>
      <w:proofErr w:type="spellStart"/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Кам’янецька</w:t>
      </w:r>
      <w:proofErr w:type="spellEnd"/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 xml:space="preserve"> фортеця (загальний, пенсійний – 100 грн, студенти і учні – 50 грн).</w:t>
      </w: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br/>
      </w:r>
    </w:p>
    <w:p w:rsidR="00D264B8" w:rsidRPr="00CB74C2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CB74C2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2A22F5" w:rsidRPr="00CB74C2" w:rsidRDefault="002A22F5" w:rsidP="002A22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Проживання в готелі категорії 3* в номерах зі зручностями;</w:t>
      </w:r>
    </w:p>
    <w:p w:rsidR="002A22F5" w:rsidRPr="00CB74C2" w:rsidRDefault="002A22F5" w:rsidP="002A22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Транспортне обслуговування по програмі;</w:t>
      </w:r>
    </w:p>
    <w:p w:rsidR="002A22F5" w:rsidRPr="00CB74C2" w:rsidRDefault="002A22F5" w:rsidP="002A22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Екскурсійне обслуговування по програмі;</w:t>
      </w:r>
    </w:p>
    <w:p w:rsidR="002A22F5" w:rsidRPr="00CB74C2" w:rsidRDefault="002A22F5" w:rsidP="002A22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Харчування по програмі - (1 сніданок, 2 обіди, 1 вечеря);</w:t>
      </w:r>
    </w:p>
    <w:p w:rsidR="002A22F5" w:rsidRPr="00CB74C2" w:rsidRDefault="002A22F5" w:rsidP="002A22F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Страхування на період туру.</w:t>
      </w:r>
    </w:p>
    <w:p w:rsidR="00D264B8" w:rsidRPr="00CB74C2" w:rsidRDefault="00D264B8" w:rsidP="00082494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CB74C2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2A22F5" w:rsidRPr="00CB74C2" w:rsidRDefault="002A22F5" w:rsidP="002A22F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Залізничний проїзд Київ - Кам'янець-Подільський, Чернівці - Київ (Купе: від 1800 грн/дорослі та діти старші 14 років; від 1500 грн/діти до 14 років. Плацкарт: від 1200 грн/дорослі та діти старші 14 років; від 1000 грн/діти до 14 років);</w:t>
      </w:r>
    </w:p>
    <w:p w:rsidR="002A22F5" w:rsidRPr="00CB74C2" w:rsidRDefault="002A22F5" w:rsidP="002A22F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Вхідні квитки в екскурсійні об'єкти;</w:t>
      </w:r>
    </w:p>
    <w:p w:rsidR="002A22F5" w:rsidRPr="00CB74C2" w:rsidRDefault="002A22F5" w:rsidP="002A22F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Додаткове харчування – від 250 грн/комплекс;</w:t>
      </w:r>
    </w:p>
    <w:p w:rsidR="00045187" w:rsidRPr="00CB74C2" w:rsidRDefault="002A22F5" w:rsidP="002A22F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</w:pPr>
      <w:r w:rsidRPr="00CB74C2">
        <w:rPr>
          <w:rFonts w:ascii="Verdana" w:eastAsia="Times New Roman" w:hAnsi="Verdana" w:cstheme="minorHAnsi"/>
          <w:color w:val="212529"/>
          <w:sz w:val="18"/>
          <w:szCs w:val="20"/>
          <w:lang w:eastAsia="uk-UA"/>
        </w:rPr>
        <w:t>Особисті витрати.</w:t>
      </w:r>
    </w:p>
    <w:sectPr w:rsidR="00045187" w:rsidRPr="00CB74C2" w:rsidSect="00E54042">
      <w:headerReference w:type="default" r:id="rId14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EF8" w:rsidRDefault="00CC4EF8" w:rsidP="00E54042">
      <w:pPr>
        <w:spacing w:after="0" w:line="240" w:lineRule="auto"/>
      </w:pPr>
      <w:r>
        <w:separator/>
      </w:r>
    </w:p>
  </w:endnote>
  <w:endnote w:type="continuationSeparator" w:id="0">
    <w:p w:rsidR="00CC4EF8" w:rsidRDefault="00CC4EF8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EF8" w:rsidRDefault="00CC4EF8" w:rsidP="00E54042">
      <w:pPr>
        <w:spacing w:after="0" w:line="240" w:lineRule="auto"/>
      </w:pPr>
      <w:r>
        <w:separator/>
      </w:r>
    </w:p>
  </w:footnote>
  <w:footnote w:type="continuationSeparator" w:id="0">
    <w:p w:rsidR="00CC4EF8" w:rsidRDefault="00CC4EF8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CC4EF8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CC4EF8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D79EA"/>
    <w:multiLevelType w:val="hybridMultilevel"/>
    <w:tmpl w:val="EDF2E2F8"/>
    <w:lvl w:ilvl="0" w:tplc="5EF40FD6">
      <w:numFmt w:val="bullet"/>
      <w:lvlText w:val="•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9EC254B"/>
    <w:multiLevelType w:val="hybridMultilevel"/>
    <w:tmpl w:val="D41CC0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B5F69"/>
    <w:multiLevelType w:val="multilevel"/>
    <w:tmpl w:val="0782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125DB"/>
    <w:multiLevelType w:val="multilevel"/>
    <w:tmpl w:val="E7FC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66403"/>
    <w:multiLevelType w:val="multilevel"/>
    <w:tmpl w:val="2866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B25D5B"/>
    <w:multiLevelType w:val="multilevel"/>
    <w:tmpl w:val="70F8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617FC"/>
    <w:multiLevelType w:val="multilevel"/>
    <w:tmpl w:val="AD32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006650"/>
    <w:multiLevelType w:val="multilevel"/>
    <w:tmpl w:val="94AE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12"/>
  </w:num>
  <w:num w:numId="8">
    <w:abstractNumId w:val="15"/>
  </w:num>
  <w:num w:numId="9">
    <w:abstractNumId w:val="4"/>
  </w:num>
  <w:num w:numId="10">
    <w:abstractNumId w:val="10"/>
  </w:num>
  <w:num w:numId="11">
    <w:abstractNumId w:val="2"/>
  </w:num>
  <w:num w:numId="12">
    <w:abstractNumId w:val="1"/>
  </w:num>
  <w:num w:numId="13">
    <w:abstractNumId w:val="3"/>
  </w:num>
  <w:num w:numId="14">
    <w:abstractNumId w:val="13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82494"/>
    <w:rsid w:val="000858B3"/>
    <w:rsid w:val="001452E4"/>
    <w:rsid w:val="0016635C"/>
    <w:rsid w:val="00241C48"/>
    <w:rsid w:val="002A22F5"/>
    <w:rsid w:val="003D749D"/>
    <w:rsid w:val="00435A47"/>
    <w:rsid w:val="00470FDF"/>
    <w:rsid w:val="005260BD"/>
    <w:rsid w:val="005909E1"/>
    <w:rsid w:val="00632CAB"/>
    <w:rsid w:val="006E548E"/>
    <w:rsid w:val="00700408"/>
    <w:rsid w:val="007A0B27"/>
    <w:rsid w:val="00833A4C"/>
    <w:rsid w:val="00897C66"/>
    <w:rsid w:val="008E211C"/>
    <w:rsid w:val="009E26FD"/>
    <w:rsid w:val="009E3F55"/>
    <w:rsid w:val="009F46AC"/>
    <w:rsid w:val="00A04F0F"/>
    <w:rsid w:val="00A54C47"/>
    <w:rsid w:val="00AF35EB"/>
    <w:rsid w:val="00B15A79"/>
    <w:rsid w:val="00B64190"/>
    <w:rsid w:val="00B82960"/>
    <w:rsid w:val="00C754E8"/>
    <w:rsid w:val="00CB74C2"/>
    <w:rsid w:val="00CC4EF8"/>
    <w:rsid w:val="00D264B8"/>
    <w:rsid w:val="00D51B47"/>
    <w:rsid w:val="00D842E8"/>
    <w:rsid w:val="00DB600C"/>
    <w:rsid w:val="00E476E7"/>
    <w:rsid w:val="00E54042"/>
    <w:rsid w:val="00E6728B"/>
    <w:rsid w:val="00E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EE28D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2A22F5"/>
    <w:pPr>
      <w:ind w:left="720"/>
      <w:contextualSpacing/>
    </w:pPr>
  </w:style>
  <w:style w:type="table" w:styleId="aa">
    <w:name w:val="Table Grid"/>
    <w:basedOn w:val="a1"/>
    <w:uiPriority w:val="39"/>
    <w:rsid w:val="00D842E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8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8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Марина Яковчук</cp:lastModifiedBy>
  <cp:revision>36</cp:revision>
  <dcterms:created xsi:type="dcterms:W3CDTF">2024-01-30T14:05:00Z</dcterms:created>
  <dcterms:modified xsi:type="dcterms:W3CDTF">2026-03-05T11:09:00Z</dcterms:modified>
</cp:coreProperties>
</file>