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6C6BDE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6C6BDE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AF231C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AF231C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СВЯТИНІ, ЗАМКИ, ПЕЧЕРИ ТА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ВОДОСПАДИ ТЕРНОПІЛЬЩИНИ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AF231C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F231C">
        <w:rPr>
          <w:rFonts w:ascii="Verdana" w:hAnsi="Verdana" w:cstheme="minorHAnsi"/>
          <w:color w:val="FFFFFF"/>
          <w:sz w:val="18"/>
          <w:szCs w:val="18"/>
        </w:rPr>
        <w:t>Почаївська Святиня та легендарний Кременець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AF231C" w:rsidRPr="00AF231C" w:rsidRDefault="00AF231C" w:rsidP="00AF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Приїзд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 xml:space="preserve"> до Тернополя.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Зустріч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групи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 xml:space="preserve"> на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залізничному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вокзалі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Переїзд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м.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Почаїв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Екскурсія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Почаївською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Свято-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Успенською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Лаврою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—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однією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з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найбільших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святинь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православ’я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історія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якої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починається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з 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XIII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ст., коли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з’явилася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Діва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Марія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і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залишила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камені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відбиток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своєї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стопи,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звідки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б’є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чудотворне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джерело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Відвідування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місця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де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були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підняті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мощі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Амфілохія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Почаївського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Обід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трапезній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або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кафе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міста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Охочих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оздоровитися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цілющою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мінеральною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водою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пропонуємо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купальні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Св. Анни,</w:t>
      </w:r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en-US"/>
        </w:rPr>
        <w:t> 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які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відомі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своїми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цілющими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властивостями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Переїзд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м.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Кременець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де ми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оглянемо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залишки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оборонної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споруди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горі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Боні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яка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підноситься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над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містом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Його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споруда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належить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до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найдавніших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найнеприступніших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фортець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Західної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України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яку за </w:t>
      </w:r>
      <w:proofErr w:type="spellStart"/>
      <w:proofErr w:type="gram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переказами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не</w:t>
      </w:r>
      <w:proofErr w:type="gram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зміг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захопити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в 1248 р. Хан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Батий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Повернення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в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Тернопіль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Вечеря в кафе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міста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Поселення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готель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.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Вільний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час.</w:t>
      </w:r>
    </w:p>
    <w:p w:rsidR="00DF134C" w:rsidRPr="00AF231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C327B2" w:rsidRDefault="00AF231C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52600" cy="987298"/>
            <wp:effectExtent l="0" t="0" r="0" b="3810"/>
            <wp:docPr id="69" name="Рисунок 69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0" cy="100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09750" cy="983298"/>
            <wp:effectExtent l="0" t="0" r="0" b="7620"/>
            <wp:docPr id="68" name="Рисунок 68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31" cy="9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21880" cy="990172"/>
            <wp:effectExtent l="0" t="0" r="0" b="635"/>
            <wp:docPr id="67" name="Рисунок 67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40" cy="100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809750" cy="989330"/>
            <wp:effectExtent l="0" t="0" r="0" b="1270"/>
            <wp:docPr id="26" name="Рисунок 26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02" cy="99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C327B2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327B2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C327B2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C327B2" w:rsidRDefault="00AF231C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F231C">
        <w:rPr>
          <w:rFonts w:ascii="Verdana" w:hAnsi="Verdana" w:cstheme="minorHAnsi"/>
          <w:color w:val="FFFFFF"/>
          <w:sz w:val="18"/>
          <w:szCs w:val="18"/>
        </w:rPr>
        <w:t>Печера - замок - водоспад</w:t>
      </w:r>
    </w:p>
    <w:p w:rsidR="00491449" w:rsidRPr="001167D3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AF231C" w:rsidRPr="00AF231C" w:rsidRDefault="00AF231C" w:rsidP="00AF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Сніданок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 xml:space="preserve">.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Виселення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 xml:space="preserve"> з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номерів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7F7F7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Переїзд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с.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Більче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-Золоте.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Екскурсія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по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печері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"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Вертеба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"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-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гіпсова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печера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одна з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найбільших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Європі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Довжина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підземних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ходів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становить 7820 м. -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екскурсійний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маршрут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біля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1 км. Печера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складається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з широких галерей,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розділених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вузькими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перемичками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Середньорічна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температура в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печері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9-10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градусів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при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відносній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вологості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92-100%.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Переїзд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Нирків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Огляд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Джуринського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водоспаду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- одного з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найсильніших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і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найкрасивіших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водоспадів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України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Вода в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ньому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спадає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з 16-метрової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висоти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За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даними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географічної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енциклопедії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це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найвищий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водоспад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рівнинній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території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України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На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горі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біля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водоспаду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видно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залишки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фортеці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та костелу (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XV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ІІ ст.).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Переїзд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м.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Бучач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,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добре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відомий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своїми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чисельними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пам`ятками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Але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ще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більш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його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прославили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дві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легендарні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постаті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— скульптор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Йоган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Пінзель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нобелівський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лауреат —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письменник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Агнон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що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був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зображений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національній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валюті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Ізраїля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в 50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шекелів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.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Під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lastRenderedPageBreak/>
        <w:t xml:space="preserve">деревом “Золота липа”,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що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частково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збереглося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й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донині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султаном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був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підписаний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знаменитий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Бучацький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мирний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договір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між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Туреччиною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і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Річчю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Посполитою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1672 року.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Побачимо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найгарнішу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ратушу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України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яку у 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XVIII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ст.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витворили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Пінзель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і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архітектор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Меретин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оглянемо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мальовничі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фрагменти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замку на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найвищій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точці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міста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Обід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 xml:space="preserve"> в кафе </w:t>
      </w:r>
      <w:proofErr w:type="spellStart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міста</w:t>
      </w:r>
      <w:proofErr w:type="spellEnd"/>
      <w:r w:rsidRPr="00AF231C"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  <w:t>.</w:t>
      </w:r>
    </w:p>
    <w:p w:rsidR="00AF231C" w:rsidRP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Повернення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в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Тернопіль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Трансфер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групи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 вокзал.</w:t>
      </w:r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br/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Від'їзд</w:t>
      </w:r>
      <w:proofErr w:type="spellEnd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до </w:t>
      </w:r>
      <w:proofErr w:type="spellStart"/>
      <w:r w:rsidRPr="00AF231C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Києва</w:t>
      </w:r>
      <w:proofErr w:type="spellEnd"/>
      <w:r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AF231C" w:rsidRDefault="00AF231C" w:rsidP="00AF231C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AF231C" w:rsidRPr="00AF231C" w:rsidRDefault="00AF231C" w:rsidP="00AF231C">
      <w:pPr>
        <w:shd w:val="clear" w:color="auto" w:fill="F7F7F7"/>
        <w:spacing w:after="0" w:line="240" w:lineRule="auto"/>
        <w:jc w:val="center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04975" cy="1108233"/>
            <wp:effectExtent l="0" t="0" r="0" b="0"/>
            <wp:docPr id="73" name="Рисунок 73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85" cy="111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66875" cy="1105694"/>
            <wp:effectExtent l="0" t="0" r="0" b="0"/>
            <wp:docPr id="72" name="Рисунок 7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856" cy="11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07712" cy="1104551"/>
            <wp:effectExtent l="0" t="0" r="0" b="635"/>
            <wp:docPr id="71" name="Рисунок 7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11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581150" cy="1117420"/>
            <wp:effectExtent l="0" t="0" r="0" b="6985"/>
            <wp:docPr id="70" name="Рисунок 70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34" cy="112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C327B2" w:rsidRDefault="00472AC3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C327B2" w:rsidRPr="00C327B2" w:rsidRDefault="00C327B2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705"/>
        <w:gridCol w:w="2705"/>
        <w:gridCol w:w="2705"/>
      </w:tblGrid>
      <w:tr w:rsidR="00AF231C" w:rsidRPr="00AF231C" w:rsidTr="00AF231C">
        <w:trPr>
          <w:trHeight w:val="669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25+2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AF231C" w:rsidRPr="00AF231C" w:rsidTr="00AF231C">
        <w:trPr>
          <w:trHeight w:val="669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Готель 3*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4600 </w:t>
            </w:r>
            <w:proofErr w:type="spellStart"/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4300 </w:t>
            </w:r>
            <w:proofErr w:type="spellStart"/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1C" w:rsidRPr="00AF231C" w:rsidRDefault="00AF231C" w:rsidP="00AF231C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3900</w:t>
            </w:r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 </w:t>
            </w:r>
            <w:proofErr w:type="spellStart"/>
            <w:r w:rsidRPr="00AF231C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AF231C" w:rsidRPr="00AF231C" w:rsidRDefault="00AF231C" w:rsidP="00AF231C">
      <w:pPr>
        <w:pStyle w:val="ab"/>
        <w:numPr>
          <w:ilvl w:val="0"/>
          <w:numId w:val="3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категорії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в номерах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AF231C" w:rsidRPr="00AF231C" w:rsidRDefault="00AF231C" w:rsidP="00AF231C">
      <w:pPr>
        <w:pStyle w:val="ab"/>
        <w:numPr>
          <w:ilvl w:val="0"/>
          <w:numId w:val="3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AF231C" w:rsidRPr="00AF231C" w:rsidRDefault="00AF231C" w:rsidP="00AF231C">
      <w:pPr>
        <w:pStyle w:val="ab"/>
        <w:numPr>
          <w:ilvl w:val="0"/>
          <w:numId w:val="3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AF231C" w:rsidRPr="00AF231C" w:rsidRDefault="00AF231C" w:rsidP="00AF231C">
      <w:pPr>
        <w:pStyle w:val="ab"/>
        <w:numPr>
          <w:ilvl w:val="0"/>
          <w:numId w:val="3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- (2-разове);</w:t>
      </w:r>
    </w:p>
    <w:p w:rsidR="00AF231C" w:rsidRPr="00AF231C" w:rsidRDefault="00AF231C" w:rsidP="00AF231C">
      <w:pPr>
        <w:pStyle w:val="ab"/>
        <w:numPr>
          <w:ilvl w:val="0"/>
          <w:numId w:val="3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AF231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1167D3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1167D3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167D3">
        <w:rPr>
          <w:rFonts w:ascii="Verdana" w:eastAsia="Times New Roman" w:hAnsi="Verdana" w:cs="Segoe UI"/>
          <w:color w:val="212529"/>
          <w:sz w:val="18"/>
          <w:szCs w:val="18"/>
        </w:rPr>
        <w:t>Залізничний трансфер Київ – Тернопіль - Київ: дорослі від 1900 грн., діти до 14 років - від 1700 грн. - купе, плацкарт - від 1100 грн/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</w:rPr>
        <w:t xml:space="preserve">, 1000 грн/діти до 14 років). </w:t>
      </w:r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об'єкти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286E72" w:rsidRPr="00670491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</w:rPr>
      </w:pPr>
    </w:p>
    <w:sectPr w:rsidR="00286E72" w:rsidRPr="00670491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DE" w:rsidRDefault="006C6BDE" w:rsidP="00840880">
      <w:pPr>
        <w:spacing w:after="0" w:line="240" w:lineRule="auto"/>
      </w:pPr>
      <w:r>
        <w:separator/>
      </w:r>
    </w:p>
  </w:endnote>
  <w:endnote w:type="continuationSeparator" w:id="0">
    <w:p w:rsidR="006C6BDE" w:rsidRDefault="006C6BDE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DE" w:rsidRDefault="006C6BDE" w:rsidP="00840880">
      <w:pPr>
        <w:spacing w:after="0" w:line="240" w:lineRule="auto"/>
      </w:pPr>
      <w:r>
        <w:separator/>
      </w:r>
    </w:p>
  </w:footnote>
  <w:footnote w:type="continuationSeparator" w:id="0">
    <w:p w:rsidR="006C6BDE" w:rsidRDefault="006C6BDE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574BA6"/>
    <w:multiLevelType w:val="hybridMultilevel"/>
    <w:tmpl w:val="C6CCFBE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33079"/>
    <w:multiLevelType w:val="hybridMultilevel"/>
    <w:tmpl w:val="A3BE232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D2D40"/>
    <w:multiLevelType w:val="multilevel"/>
    <w:tmpl w:val="59CC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C6A08"/>
    <w:multiLevelType w:val="multilevel"/>
    <w:tmpl w:val="01E4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4A7A73CC"/>
    <w:multiLevelType w:val="multilevel"/>
    <w:tmpl w:val="6A5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777C2EA8"/>
    <w:multiLevelType w:val="hybridMultilevel"/>
    <w:tmpl w:val="61184F4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"/>
  </w:num>
  <w:num w:numId="5">
    <w:abstractNumId w:val="17"/>
  </w:num>
  <w:num w:numId="6">
    <w:abstractNumId w:val="10"/>
  </w:num>
  <w:num w:numId="7">
    <w:abstractNumId w:val="26"/>
  </w:num>
  <w:num w:numId="8">
    <w:abstractNumId w:val="8"/>
  </w:num>
  <w:num w:numId="9">
    <w:abstractNumId w:val="9"/>
  </w:num>
  <w:num w:numId="10">
    <w:abstractNumId w:val="21"/>
  </w:num>
  <w:num w:numId="11">
    <w:abstractNumId w:val="24"/>
  </w:num>
  <w:num w:numId="12">
    <w:abstractNumId w:val="3"/>
  </w:num>
  <w:num w:numId="13">
    <w:abstractNumId w:val="23"/>
  </w:num>
  <w:num w:numId="14">
    <w:abstractNumId w:val="22"/>
  </w:num>
  <w:num w:numId="15">
    <w:abstractNumId w:val="6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27"/>
  </w:num>
  <w:num w:numId="21">
    <w:abstractNumId w:val="2"/>
  </w:num>
  <w:num w:numId="22">
    <w:abstractNumId w:val="15"/>
  </w:num>
  <w:num w:numId="23">
    <w:abstractNumId w:val="30"/>
  </w:num>
  <w:num w:numId="24">
    <w:abstractNumId w:val="33"/>
  </w:num>
  <w:num w:numId="25">
    <w:abstractNumId w:val="32"/>
  </w:num>
  <w:num w:numId="26">
    <w:abstractNumId w:val="12"/>
  </w:num>
  <w:num w:numId="27">
    <w:abstractNumId w:val="28"/>
  </w:num>
  <w:num w:numId="28">
    <w:abstractNumId w:val="5"/>
  </w:num>
  <w:num w:numId="29">
    <w:abstractNumId w:val="14"/>
  </w:num>
  <w:num w:numId="30">
    <w:abstractNumId w:val="13"/>
  </w:num>
  <w:num w:numId="31">
    <w:abstractNumId w:val="20"/>
  </w:num>
  <w:num w:numId="32">
    <w:abstractNumId w:val="4"/>
  </w:num>
  <w:num w:numId="33">
    <w:abstractNumId w:val="31"/>
  </w:num>
  <w:num w:numId="34">
    <w:abstractNumId w:val="16"/>
  </w:num>
  <w:num w:numId="3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167D3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C6BDE"/>
    <w:rsid w:val="006E4779"/>
    <w:rsid w:val="006F634E"/>
    <w:rsid w:val="00703ACE"/>
    <w:rsid w:val="007059B3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6CA"/>
    <w:rsid w:val="009B739B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231C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9FE0C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6nRoCOAbsGd8Jz9g2wSbsoqu6mh5dXDMeIs0ylXj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k8AduHjcTpimYC9jaexXWPYIiil8YRnPrrBsex8M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iHYzBtPQBRhDXrA1Exl2WHO0pKS7mOcbr5sXszVs.jpeg" TargetMode="External"/><Relationship Id="rId25" Type="http://schemas.openxmlformats.org/officeDocument/2006/relationships/hyperlink" Target="https://sakums.com.ua/storage/watermarked/cOaRKLDqswdAz51SxPUWxAVC142rFfhfQLbgOrSH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tIwmdbK2YpEoISSZFGdOc2eqyETtOckRMlJ6HxC2.jpeg" TargetMode="External"/><Relationship Id="rId23" Type="http://schemas.openxmlformats.org/officeDocument/2006/relationships/hyperlink" Target="https://sakums.com.ua/storage/watermarked/Tt21FTkeGR1vplwFxNCZJxzv9wPACS5HK60EKfZP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WrzYexlqdOWDcgPHtqjmKuLyWXFxHikwnoXQbBTt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buqV9vMFuUTcQbSf2kkuA9SKJYPu0blS8yAZdbo8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E800-B390-4724-91DA-AABB9687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2026-03-05T14:37:00Z</dcterms:created>
  <dcterms:modified xsi:type="dcterms:W3CDTF">2026-03-05T14:37:00Z</dcterms:modified>
</cp:coreProperties>
</file>