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en-US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C1355F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>УЖГОРОД. САКУРА. НАРЦИСИ.</w:t>
      </w:r>
      <w:r w:rsidR="00682932" w:rsidRPr="00786797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 </w:t>
      </w:r>
      <w:r w:rsidR="00682932" w:rsidRPr="00786797">
        <w:rPr>
          <w:lang w:val="uk-UA" w:eastAsia="ru-RU"/>
        </w:rPr>
        <w:t xml:space="preserve">  </w:t>
      </w:r>
      <w:r w:rsidR="00E34201">
        <w:rPr>
          <w:lang w:val="uk-UA" w:eastAsia="ru-RU"/>
        </w:rPr>
        <w:t xml:space="preserve"> </w:t>
      </w:r>
      <w:r w:rsidR="00682932" w:rsidRPr="00786797">
        <w:rPr>
          <w:rFonts w:ascii="Verdana" w:hAnsi="Verdana"/>
          <w:b/>
          <w:bCs/>
          <w:color w:val="FF0000"/>
          <w:sz w:val="20"/>
          <w:szCs w:val="20"/>
          <w:lang w:val="uk-UA"/>
        </w:rPr>
        <w:t xml:space="preserve"> </w:t>
      </w:r>
    </w:p>
    <w:p w:rsidR="00C1355F" w:rsidRPr="001C504C" w:rsidRDefault="00682932" w:rsidP="00C1355F">
      <w:pPr>
        <w:rPr>
          <w:rFonts w:ascii="Verdana" w:eastAsia="Times New Roman" w:hAnsi="Verdana"/>
          <w:sz w:val="20"/>
          <w:szCs w:val="20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  <w:r w:rsidR="006A3B63">
        <w:rPr>
          <w:rFonts w:ascii="Verdana" w:hAnsi="Verdana"/>
          <w:b/>
          <w:bCs/>
          <w:color w:val="0070C0"/>
          <w:sz w:val="20"/>
          <w:szCs w:val="20"/>
          <w:lang w:val="uk-UA"/>
        </w:rPr>
        <w:br/>
      </w:r>
      <w:r w:rsidR="006A3B63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="006A3B63" w:rsidRPr="006A3B63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="00A34854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br/>
      </w:r>
      <w:r w:rsidR="00C1355F" w:rsidRPr="001C504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Прибуття в Ужгород. Зустріч групи на вокзалі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color w:val="000000"/>
          <w:sz w:val="20"/>
          <w:szCs w:val="20"/>
        </w:rPr>
        <w:t>З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апрошуємо Вас на пішохідну екскурсію по місту «Ужгород древній і сучасний»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. Ужгород - невелике старовинне європейське місто з численними історико-архітектурними пам'ятками європейського значення. Протягом усієї своєї історії Ужгород був у складі численних держав, тому різноманітність культур відбилося на традиціях, внутрішній устрій міста, ментальності жителів.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br/>
        <w:t>Під час екскурсії ми відвідаємо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Ужгородський замок (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IX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-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XIII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ст.)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- найдавнішу фортеця Закарпаття, яка більше 360 років була садибою італійських аристократів роду Другетті. Потім зробимо прогулянку по старовинній частині міста: Кафедральний собор, Римо-Католицький храм Св. Георгія, Ортодоксальна синагога, липова алея (2,2 км), Альпінарій - оригінальний парк-сквер. Також ми відвідаємо так званий Хрест - улюблене місце зустрічей мешканців міста. Корзо, Хрест і вул.Волошина є пішохідними зонами Ужгорода, тут скрізь розкидані кавові тераси і лавки прямо посеред перехожої частини.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color w:val="000000"/>
          <w:sz w:val="20"/>
          <w:szCs w:val="20"/>
        </w:rPr>
        <w:t>Також ми оглянемо іменну алею з 30 сакур. Ця алея стане найдовшою алеєю сакур у Європі. Дерева сакури висадили в честь 30 ужгородців, що прославили місто - Адальберта Ерделі, Йосипа Бокшая, Федора Корятовича та інших.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Обід в кафе. міста.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в Невицьке. Огляд Невицького замку.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 xml:space="preserve">Краса природи в Невицькому 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переплітається із романтикою минулого.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 xml:space="preserve"> Сиві мури древнього замку вінчають крутий скелястий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пагорб над долиною. Трьома зяючими бійницями дивиться він на гори, що оточують його, нзелену долину Ужа (біля м. Ужгород). Замок має свою власну романтично-драматичну історію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кохання.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до Воєводино. Прогулянка парком Шенборна.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 xml:space="preserve">Парк збудований за задумом подібним до палацу Шенборнів, що в Карпатах неподалік Мукачева. 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Тут ви знайдете багато об'єктів, що автори пов'язали з астрологією. Наприклад, при вході у парк є великі ворота на яких рівно 4 великі шпилі, які символізують пори року, 12 менших - місяці. Також у парку є 12 невеликих мостиків на кожному з яких зображений один з 12-ти знаків зодіаку. А в кельтському саду ви побачите календар друїдів. Дерева в ньому висаджені не просто, а із серйозними розрахунками, щоб кожне з них символізувало певний відрізок часу чи подію.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Пореїзд до готелю. Поселення.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Вечере в ресторані готелю.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Вільний час</w:t>
      </w:r>
    </w:p>
    <w:p w:rsidR="00682932" w:rsidRPr="001C504C" w:rsidRDefault="00682932" w:rsidP="00C1355F">
      <w:pPr>
        <w:rPr>
          <w:rFonts w:ascii="Verdana" w:hAnsi="Verdana"/>
          <w:b/>
          <w:bCs/>
          <w:color w:val="0070C0"/>
          <w:sz w:val="20"/>
          <w:szCs w:val="20"/>
          <w:lang w:val="uk-UA"/>
        </w:rPr>
      </w:pPr>
    </w:p>
    <w:p w:rsidR="001767C1" w:rsidRPr="001C504C" w:rsidRDefault="001767C1" w:rsidP="00512B46">
      <w:pPr>
        <w:snapToGrid w:val="0"/>
        <w:contextualSpacing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</w:p>
    <w:p w:rsidR="00C1355F" w:rsidRPr="001C504C" w:rsidRDefault="00773CE4" w:rsidP="00C1355F">
      <w:pPr>
        <w:rPr>
          <w:rFonts w:ascii="Verdana" w:eastAsia="Times New Roman" w:hAnsi="Verdana"/>
          <w:sz w:val="20"/>
          <w:szCs w:val="20"/>
        </w:rPr>
      </w:pPr>
      <w:r w:rsidRPr="001C504C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1C504C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1C504C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A3B63" w:rsidRPr="001C504C">
        <w:rPr>
          <w:rFonts w:ascii="Verdana" w:hAnsi="Verdana"/>
          <w:b/>
          <w:sz w:val="20"/>
          <w:szCs w:val="20"/>
          <w:lang w:val="uk-UA"/>
        </w:rPr>
        <w:br/>
      </w:r>
      <w:r w:rsidR="00C1355F" w:rsidRPr="001C504C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Сніданок. Виселення з готелю.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color w:val="000000"/>
          <w:sz w:val="20"/>
          <w:szCs w:val="20"/>
        </w:rPr>
        <w:t>Виїзд на екскурсію в с. Кіреші Хустського р-ну, саме тут розташована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унікальна Долина нарцисів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- найбільший масив дикорослих нарцисів в Європі, який зберігся з часів льодовикового періоду. Тут можна зустріти нарцис вузьколистий, що нагадує формою зірочку, і має приємний сильний аромат.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color w:val="000000"/>
          <w:sz w:val="20"/>
          <w:szCs w:val="20"/>
        </w:rPr>
        <w:t>(В той час, коли нарциси не цвітуть: відвідування Березинського дендропарку, де на 22 Га зібрано 360 представників рослинного світу з різних куточків планети. Дивовижний повітря, надзвичайне поєднання чистоти і первозданності природи залишають незабутнє враження.)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Заїзд в місто Хуст,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знайомство з архітектурними пам'ятками середньовіччя. Місто виникло як фортеця для оборони угорської держави від русинів, а пізніше від турків. А в 16 столітті останки фортеці були розібрані місцевими жителями на спорудження будинків.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в село Іза</w:t>
      </w:r>
      <w:r w:rsidRPr="00C1355F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C1355F">
        <w:rPr>
          <w:rFonts w:ascii="Verdana" w:eastAsia="Times New Roman" w:hAnsi="Verdana" w:cs="Arial"/>
          <w:color w:val="000000"/>
          <w:sz w:val="20"/>
          <w:szCs w:val="20"/>
        </w:rPr>
        <w:t>- центр лозоплетіння в Україні, де можна купити все: починаючи від меблів і закінчуючи маленькими сувенірами з лози.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color w:val="000000"/>
          <w:sz w:val="20"/>
          <w:szCs w:val="20"/>
        </w:rPr>
        <w:t>Переїзд в Мукачево.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Обід в кафе міста.</w:t>
      </w: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  <w:t>Трансфер на вокзал.</w:t>
      </w:r>
    </w:p>
    <w:p w:rsidR="00C1355F" w:rsidRPr="00C1355F" w:rsidRDefault="00C1355F" w:rsidP="00C1355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C1355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Відправлення до Києва.</w:t>
      </w:r>
    </w:p>
    <w:p w:rsidR="006A3B63" w:rsidRPr="001C504C" w:rsidRDefault="006A3B63" w:rsidP="00C1355F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1355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C1355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30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1355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3250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Pr="00773CE4" w:rsidRDefault="00C1355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2850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Default="004C4511" w:rsidP="00C1355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</w:t>
            </w:r>
            <w:r w:rsidR="00C1355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650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4907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68"/>
      </w:tblGrid>
      <w:tr w:rsidR="00682932" w:rsidRPr="00786797" w:rsidTr="001C504C">
        <w:trPr>
          <w:trHeight w:val="2738"/>
        </w:trPr>
        <w:tc>
          <w:tcPr>
            <w:tcW w:w="2484" w:type="pct"/>
            <w:shd w:val="clear" w:color="auto" w:fill="auto"/>
            <w:hideMark/>
          </w:tcPr>
          <w:p w:rsidR="00682932" w:rsidRPr="001C504C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1C504C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1C504C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1C504C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вартість тура включено:</w:t>
            </w:r>
          </w:p>
          <w:p w:rsidR="00682932" w:rsidRPr="001C504C" w:rsidRDefault="00682932" w:rsidP="006A3B6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>- проживання в готелі з усіма зручностями;</w:t>
            </w: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br/>
              <w:t xml:space="preserve">- харчування </w:t>
            </w:r>
            <w:r w:rsidR="00024FB2" w:rsidRPr="001C504C">
              <w:rPr>
                <w:rFonts w:ascii="Verdana" w:hAnsi="Verdana"/>
                <w:sz w:val="20"/>
                <w:szCs w:val="20"/>
                <w:lang w:val="uk-UA"/>
              </w:rPr>
              <w:t>по програмі</w:t>
            </w:r>
            <w:r w:rsidR="00821096"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 – 2-</w:t>
            </w:r>
            <w:r w:rsidR="00EC096D"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х </w:t>
            </w:r>
            <w:r w:rsidR="00821096" w:rsidRPr="001C504C">
              <w:rPr>
                <w:rFonts w:ascii="Verdana" w:hAnsi="Verdana"/>
                <w:sz w:val="20"/>
                <w:szCs w:val="20"/>
                <w:lang w:val="uk-UA"/>
              </w:rPr>
              <w:t>разове</w:t>
            </w: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; </w:t>
            </w: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br/>
              <w:t>- транспортне обслуговування по програмі;</w:t>
            </w: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br/>
              <w:t>- екскурсійне обслуговування п</w:t>
            </w:r>
            <w:bookmarkStart w:id="0" w:name="_GoBack"/>
            <w:bookmarkEnd w:id="0"/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>о програмі;</w:t>
            </w: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br/>
              <w:t>- страх</w:t>
            </w:r>
            <w:r w:rsidR="006A3B63" w:rsidRPr="001C504C">
              <w:rPr>
                <w:rFonts w:ascii="Verdana" w:hAnsi="Verdana"/>
                <w:sz w:val="20"/>
                <w:szCs w:val="20"/>
                <w:lang w:val="uk-UA"/>
              </w:rPr>
              <w:t>ування</w:t>
            </w: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</w:p>
        </w:tc>
        <w:tc>
          <w:tcPr>
            <w:tcW w:w="2516" w:type="pct"/>
            <w:shd w:val="clear" w:color="auto" w:fill="auto"/>
            <w:hideMark/>
          </w:tcPr>
          <w:p w:rsidR="00682932" w:rsidRPr="001C504C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1C504C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 w:rsidRPr="001C504C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1C504C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вартість тур</w:t>
            </w:r>
            <w:r w:rsidRPr="001C504C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1C504C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1C504C" w:rsidRDefault="00024FB2" w:rsidP="00024FB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- зал. проїзд Київ-Ужгород, Мукачево-Київ </w:t>
            </w:r>
          </w:p>
          <w:p w:rsidR="00F107DC" w:rsidRPr="001C504C" w:rsidRDefault="00024FB2" w:rsidP="00024FB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(Купе: дор. і діти старше 14 р. – </w:t>
            </w:r>
            <w:r w:rsidR="001B7A5B"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EC096D" w:rsidRPr="001C504C">
              <w:rPr>
                <w:rFonts w:ascii="Verdana" w:hAnsi="Verdana"/>
                <w:sz w:val="20"/>
                <w:szCs w:val="20"/>
                <w:lang w:val="uk-UA"/>
              </w:rPr>
              <w:t>1750</w:t>
            </w:r>
            <w:r w:rsidR="001B7A5B"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="00EC096D" w:rsidRPr="001C504C">
              <w:rPr>
                <w:rFonts w:ascii="Verdana" w:hAnsi="Verdana"/>
                <w:sz w:val="20"/>
                <w:szCs w:val="20"/>
                <w:lang w:val="uk-UA"/>
              </w:rPr>
              <w:t>грн/ос</w:t>
            </w: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EC096D" w:rsidRPr="001C504C" w:rsidRDefault="00024FB2" w:rsidP="00821096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 діти до 14 р. – від </w:t>
            </w:r>
            <w:r w:rsidR="00EC096D" w:rsidRPr="001C504C">
              <w:rPr>
                <w:rFonts w:ascii="Verdana" w:hAnsi="Verdana"/>
                <w:sz w:val="20"/>
                <w:szCs w:val="20"/>
                <w:lang w:val="uk-UA"/>
              </w:rPr>
              <w:t>1550</w:t>
            </w:r>
            <w:r w:rsidR="001B7A5B"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="00EC096D" w:rsidRPr="001C504C">
              <w:rPr>
                <w:rFonts w:ascii="Verdana" w:hAnsi="Verdana"/>
                <w:sz w:val="20"/>
                <w:szCs w:val="20"/>
                <w:lang w:val="uk-UA"/>
              </w:rPr>
              <w:t>грн/ос</w:t>
            </w:r>
            <w:r w:rsidR="00F107DC" w:rsidRPr="001C504C">
              <w:rPr>
                <w:rFonts w:ascii="Verdana" w:hAnsi="Verdana"/>
                <w:sz w:val="20"/>
                <w:szCs w:val="20"/>
                <w:lang w:val="uk-UA"/>
              </w:rPr>
              <w:t>)</w:t>
            </w:r>
            <w:r w:rsidR="00682932" w:rsidRPr="001C504C">
              <w:rPr>
                <w:rFonts w:ascii="Verdana" w:hAnsi="Verdana"/>
                <w:sz w:val="20"/>
                <w:szCs w:val="20"/>
                <w:lang w:val="uk-UA"/>
              </w:rPr>
              <w:br/>
              <w:t>- вхідні квитки ;</w:t>
            </w:r>
            <w:r w:rsidR="00682932" w:rsidRPr="001C504C">
              <w:rPr>
                <w:rFonts w:ascii="Verdana" w:hAnsi="Verdana"/>
                <w:sz w:val="20"/>
                <w:szCs w:val="20"/>
                <w:lang w:val="uk-UA"/>
              </w:rPr>
              <w:br/>
              <w:t xml:space="preserve">- </w:t>
            </w:r>
            <w:r w:rsidR="00EC096D" w:rsidRPr="001C504C">
              <w:rPr>
                <w:rFonts w:ascii="Verdana" w:hAnsi="Verdana"/>
                <w:sz w:val="20"/>
                <w:szCs w:val="20"/>
                <w:lang w:val="uk-UA"/>
              </w:rPr>
              <w:t>додаткове харчування – від 180 грн/комплекс;</w:t>
            </w:r>
          </w:p>
          <w:p w:rsidR="00682932" w:rsidRPr="001C504C" w:rsidRDefault="00EC096D" w:rsidP="00EC096D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C504C">
              <w:rPr>
                <w:rFonts w:ascii="Verdana" w:hAnsi="Verdana"/>
                <w:sz w:val="20"/>
                <w:szCs w:val="20"/>
                <w:lang w:val="uk-UA"/>
              </w:rPr>
              <w:t xml:space="preserve">- </w:t>
            </w:r>
            <w:r w:rsidR="00682932" w:rsidRPr="001C504C">
              <w:rPr>
                <w:rFonts w:ascii="Verdana" w:hAnsi="Verdana"/>
                <w:sz w:val="20"/>
                <w:szCs w:val="20"/>
                <w:lang w:val="uk-UA"/>
              </w:rPr>
              <w:t>особисті витрати</w:t>
            </w:r>
            <w:r w:rsidR="00AB7A56" w:rsidRPr="001C504C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D108FD" w:rsidRPr="001C504C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1C504C">
        <w:rPr>
          <w:rFonts w:ascii="Verdana" w:hAnsi="Verdana" w:cs="Verdana"/>
          <w:sz w:val="20"/>
          <w:szCs w:val="20"/>
        </w:rPr>
        <w:t>Ужгородський замок: загальний - 1</w:t>
      </w:r>
      <w:r w:rsidR="00166CE5" w:rsidRPr="001C504C">
        <w:rPr>
          <w:rFonts w:ascii="Verdana" w:hAnsi="Verdana" w:cs="Verdana"/>
          <w:sz w:val="20"/>
          <w:szCs w:val="20"/>
          <w:lang w:val="uk-UA"/>
        </w:rPr>
        <w:t>5</w:t>
      </w:r>
      <w:r w:rsidR="00166CE5" w:rsidRPr="001C504C">
        <w:rPr>
          <w:rFonts w:ascii="Verdana" w:hAnsi="Verdana" w:cs="Verdana"/>
          <w:sz w:val="20"/>
          <w:szCs w:val="20"/>
        </w:rPr>
        <w:t>0 грн</w:t>
      </w:r>
      <w:r w:rsidRPr="001C504C">
        <w:rPr>
          <w:rFonts w:ascii="Verdana" w:hAnsi="Verdana" w:cs="Verdana"/>
          <w:sz w:val="20"/>
          <w:szCs w:val="20"/>
        </w:rPr>
        <w:t xml:space="preserve">, учнівський – </w:t>
      </w:r>
      <w:r w:rsidR="00166CE5" w:rsidRPr="001C504C">
        <w:rPr>
          <w:rFonts w:ascii="Verdana" w:hAnsi="Verdana" w:cs="Verdana"/>
          <w:sz w:val="20"/>
          <w:szCs w:val="20"/>
          <w:lang w:val="uk-UA"/>
        </w:rPr>
        <w:t>10</w:t>
      </w:r>
      <w:r w:rsidRPr="001C504C">
        <w:rPr>
          <w:rFonts w:ascii="Verdana" w:hAnsi="Verdana" w:cs="Verdana"/>
          <w:sz w:val="20"/>
          <w:szCs w:val="20"/>
        </w:rPr>
        <w:t>0 грн, діти дошкільного віку - безкоштовно;</w:t>
      </w:r>
    </w:p>
    <w:p w:rsidR="00C1355F" w:rsidRPr="00C1355F" w:rsidRDefault="00C1355F" w:rsidP="00C135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Verdana"/>
          <w:sz w:val="20"/>
          <w:szCs w:val="20"/>
        </w:rPr>
      </w:pPr>
      <w:r w:rsidRPr="00C1355F">
        <w:rPr>
          <w:rFonts w:ascii="Verdana" w:hAnsi="Verdana" w:cs="Verdana"/>
          <w:sz w:val="20"/>
          <w:szCs w:val="20"/>
        </w:rPr>
        <w:t>Долина нарцисів - 50 грн/дор, 30 грн/дит.</w:t>
      </w:r>
    </w:p>
    <w:p w:rsidR="006A3B63" w:rsidRPr="00A847B7" w:rsidRDefault="002030D4" w:rsidP="006A3B63">
      <w:pPr>
        <w:pStyle w:val="af"/>
        <w:jc w:val="center"/>
        <w:rPr>
          <w:b/>
          <w:color w:val="4F81BD" w:themeColor="accent1"/>
          <w:lang w:val="ru-RU"/>
        </w:rPr>
      </w:pPr>
      <w:r w:rsidRPr="00C1355F">
        <w:rPr>
          <w:rFonts w:ascii="Verdana" w:hAnsi="Verdana" w:cs="Verdana"/>
          <w:sz w:val="22"/>
          <w:szCs w:val="22"/>
        </w:rPr>
        <w:t>.</w:t>
      </w:r>
      <w:r w:rsidR="006A3B63" w:rsidRPr="00C1355F">
        <w:rPr>
          <w:rFonts w:ascii="Verdana" w:hAnsi="Verdana" w:cs="Verdana"/>
          <w:sz w:val="22"/>
          <w:szCs w:val="22"/>
        </w:rPr>
        <w:br/>
      </w:r>
      <w:r w:rsidR="006A3B63" w:rsidRPr="00C1355F">
        <w:rPr>
          <w:rFonts w:ascii="Verdana" w:hAnsi="Verdana" w:cs="Verdana"/>
          <w:sz w:val="22"/>
          <w:szCs w:val="22"/>
        </w:rPr>
        <w:br/>
      </w:r>
      <w:r w:rsidR="006A3B63">
        <w:rPr>
          <w:rFonts w:ascii="Verdana" w:hAnsi="Verdana" w:cs="Verdana"/>
          <w:sz w:val="20"/>
          <w:szCs w:val="20"/>
        </w:rPr>
        <w:br/>
      </w:r>
      <w:r w:rsidR="006A3B63">
        <w:rPr>
          <w:b/>
          <w:color w:val="4F81BD" w:themeColor="accent1"/>
          <w:lang w:val="ru-RU"/>
        </w:rPr>
        <w:t>МЕНЕДЖЕРИ НАПРЯМКУ</w:t>
      </w:r>
      <w:r w:rsidR="006A3B63" w:rsidRPr="00194B11">
        <w:rPr>
          <w:b/>
          <w:color w:val="4F81BD" w:themeColor="accent1"/>
          <w:lang w:val="ru-RU"/>
        </w:rPr>
        <w:t>:</w:t>
      </w:r>
    </w:p>
    <w:p w:rsidR="006A3B63" w:rsidRPr="00A847B7" w:rsidRDefault="006A3B63" w:rsidP="006A3B63">
      <w:pPr>
        <w:pStyle w:val="af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>
        <w:rPr>
          <w:lang w:val="ru-RU"/>
        </w:rPr>
        <w:t>,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15" w:history="1">
        <w:r w:rsidRPr="00A847B7">
          <w:rPr>
            <w:rStyle w:val="a3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6A3B63" w:rsidRPr="007E5769" w:rsidRDefault="006A3B63" w:rsidP="006A3B63">
      <w:pPr>
        <w:jc w:val="center"/>
        <w:rPr>
          <w:rFonts w:ascii="Verdana" w:hAnsi="Verdana"/>
          <w:sz w:val="20"/>
          <w:szCs w:val="20"/>
        </w:rPr>
      </w:pPr>
      <w:r w:rsidRPr="006B79B7">
        <w:rPr>
          <w:rFonts w:cs="Verdana"/>
          <w:b/>
          <w:bCs/>
          <w:color w:val="000000"/>
        </w:rPr>
        <w:t>тел.:</w:t>
      </w:r>
      <w:r w:rsidRPr="006B79B7">
        <w:rPr>
          <w:rFonts w:cs="Verdana"/>
          <w:color w:val="000000"/>
        </w:rPr>
        <w:t> (044) 221-77-37  |  (044) 221-77-38 </w:t>
      </w:r>
      <w:r w:rsidRPr="006B79B7">
        <w:rPr>
          <w:rFonts w:cs="Verdana"/>
          <w:color w:val="000000"/>
        </w:rPr>
        <w:br/>
      </w:r>
      <w:r w:rsidRPr="006B79B7">
        <w:rPr>
          <w:rFonts w:cs="Verdana"/>
          <w:b/>
          <w:bCs/>
          <w:color w:val="000000"/>
        </w:rPr>
        <w:t>моб.:</w:t>
      </w:r>
      <w:r w:rsidRPr="006B79B7">
        <w:rPr>
          <w:rFonts w:cs="Verdana"/>
          <w:color w:val="000000"/>
        </w:rPr>
        <w:t> (097) 099-99-94 </w:t>
      </w:r>
    </w:p>
    <w:p w:rsidR="005C63F6" w:rsidRPr="005C63F6" w:rsidRDefault="005C63F6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89" w:rsidRDefault="00A85189" w:rsidP="00AB7A56">
      <w:pPr>
        <w:spacing w:after="0" w:line="240" w:lineRule="auto"/>
      </w:pPr>
      <w:r>
        <w:separator/>
      </w:r>
    </w:p>
  </w:endnote>
  <w:endnote w:type="continuationSeparator" w:id="0">
    <w:p w:rsidR="00A85189" w:rsidRDefault="00A85189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89" w:rsidRDefault="00A85189" w:rsidP="00AB7A56">
      <w:pPr>
        <w:spacing w:after="0" w:line="240" w:lineRule="auto"/>
      </w:pPr>
      <w:r>
        <w:separator/>
      </w:r>
    </w:p>
  </w:footnote>
  <w:footnote w:type="continuationSeparator" w:id="0">
    <w:p w:rsidR="00A85189" w:rsidRDefault="00A85189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31A"/>
    <w:multiLevelType w:val="multilevel"/>
    <w:tmpl w:val="07C4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C504C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C4D92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C4511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3B63"/>
    <w:rsid w:val="006A41BF"/>
    <w:rsid w:val="006B13F8"/>
    <w:rsid w:val="006D1262"/>
    <w:rsid w:val="006D7A13"/>
    <w:rsid w:val="006E3850"/>
    <w:rsid w:val="006F0C3E"/>
    <w:rsid w:val="006F3C48"/>
    <w:rsid w:val="00706BFD"/>
    <w:rsid w:val="007157B8"/>
    <w:rsid w:val="00747EEA"/>
    <w:rsid w:val="007561A2"/>
    <w:rsid w:val="0076040F"/>
    <w:rsid w:val="00762C68"/>
    <w:rsid w:val="0076618E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4854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85189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355F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1304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73773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E478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raine@sakums.com.ua" TargetMode="Externa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16</cp:revision>
  <cp:lastPrinted>2023-11-02T11:18:00Z</cp:lastPrinted>
  <dcterms:created xsi:type="dcterms:W3CDTF">2022-09-06T08:45:00Z</dcterms:created>
  <dcterms:modified xsi:type="dcterms:W3CDTF">2023-11-03T15:44:00Z</dcterms:modified>
</cp:coreProperties>
</file>